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Verdana" w:cs="Verdana" w:eastAsia="Verdana" w:hAnsi="Verdana"/>
          <w:b w:val="1"/>
          <w:i w:val="0"/>
          <w:smallCaps w:val="0"/>
          <w:strike w:val="0"/>
          <w:color w:val="000000"/>
          <w:sz w:val="36"/>
          <w:szCs w:val="36"/>
          <w:u w:val="none"/>
          <w:shd w:fill="auto" w:val="clear"/>
          <w:vertAlign w:val="baseline"/>
        </w:rPr>
        <w:drawing>
          <wp:anchor allowOverlap="1" behindDoc="0" distB="0" distT="0" distL="0" distR="0" hidden="0" layoutInCell="1" locked="0" relativeHeight="0" simplePos="0">
            <wp:simplePos x="0" y="0"/>
            <wp:positionH relativeFrom="page">
              <wp:posOffset>540385</wp:posOffset>
            </wp:positionH>
            <wp:positionV relativeFrom="page">
              <wp:posOffset>426720</wp:posOffset>
            </wp:positionV>
            <wp:extent cx="304800" cy="981075"/>
            <wp:effectExtent b="0" l="0" r="0" t="0"/>
            <wp:wrapNone/>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4800" cy="981075"/>
                    </a:xfrm>
                    <a:prstGeom prst="rect"/>
                    <a:ln/>
                  </pic:spPr>
                </pic:pic>
              </a:graphicData>
            </a:graphic>
          </wp:anchor>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European Bureau for</w:t>
        <w:br w:type="textWrapping"/>
        <w:t xml:space="preserve">Conscientious Objection</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5498465</wp:posOffset>
            </wp:positionH>
            <wp:positionV relativeFrom="paragraph">
              <wp:posOffset>635</wp:posOffset>
            </wp:positionV>
            <wp:extent cx="984885" cy="969645"/>
            <wp:effectExtent b="0" l="0" r="0" t="0"/>
            <wp:wrapSquare wrapText="bothSides" distB="0" distT="0" distL="114935" distR="114935"/>
            <wp:docPr id="7" name="image2.jpg"/>
            <a:graphic>
              <a:graphicData uri="http://schemas.openxmlformats.org/drawingml/2006/picture">
                <pic:pic>
                  <pic:nvPicPr>
                    <pic:cNvPr id="0" name="image2.jpg"/>
                    <pic:cNvPicPr preferRelativeResize="0"/>
                  </pic:nvPicPr>
                  <pic:blipFill>
                    <a:blip r:embed="rId8"/>
                    <a:srcRect b="-35" l="-36" r="-35" t="-36"/>
                    <a:stretch>
                      <a:fillRect/>
                    </a:stretch>
                  </pic:blipFill>
                  <pic:spPr>
                    <a:xfrm>
                      <a:off x="0" y="0"/>
                      <a:ext cx="984885" cy="9696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35 Van Elewyck street, 1050 Brussels, Belgium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9">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www.ebco-beoc.org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hyperlink r:id="rId10">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ebco@ebco-beoc.org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@ebcobeoc</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5" name=""/>
                <a:graphic>
                  <a:graphicData uri="http://schemas.microsoft.com/office/word/2010/wordprocessingShape">
                    <wps:wsp>
                      <wps:cNvSpPr/>
                      <wps:cNvPr id="2" name="Shape 2"/>
                      <wps:spPr>
                        <a:xfrm>
                          <a:off x="2101500" y="3765780"/>
                          <a:ext cx="6489000" cy="28440"/>
                        </a:xfrm>
                        <a:prstGeom prst="rect">
                          <a:avLst/>
                        </a:prstGeom>
                        <a:solidFill>
                          <a:srgbClr val="ACA8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91425" spcFirstLastPara="1" rIns="91425"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5"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498590" cy="381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singl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Questionnaire for EBCO Annual Report 2024</w:t>
        <w:br w:type="textWrapping"/>
      </w:r>
      <w:r w:rsidDel="00000000" w:rsidR="00000000" w:rsidRPr="00000000">
        <w:rPr>
          <w:rtl w:val="0"/>
        </w:rPr>
      </w:r>
    </w:p>
    <w:p w:rsidR="00000000" w:rsidDel="00000000" w:rsidP="00000000" w:rsidRDefault="00000000" w:rsidRPr="00000000" w14:paraId="00000005">
      <w:pPr>
        <w:pStyle w:val="Heading3"/>
        <w:rPr/>
      </w:pPr>
      <w:bookmarkStart w:colFirst="0" w:colLast="0" w:name="_heading=h.30j0zll" w:id="1"/>
      <w:bookmarkEnd w:id="1"/>
      <w:r w:rsidDel="00000000" w:rsidR="00000000" w:rsidRPr="00000000">
        <w:rPr>
          <w:rtl w:val="0"/>
        </w:rPr>
        <w:t xml:space="preserve">A. Status of conscription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conscription into obligatory military service currently applied?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Since January 2010, a volunteer military service system is established in Albania. The transformation of AAF into a fully volunteer military service system has been accomplished by the end of 2010, due to that, no conscripts are being recruited after 2010. </w:t>
      </w:r>
    </w:p>
    <w:p w:rsidR="00000000" w:rsidDel="00000000" w:rsidP="00000000" w:rsidRDefault="00000000" w:rsidRPr="00000000" w14:paraId="0000000B">
      <w:pPr>
        <w:pStyle w:val="Heading3"/>
        <w:rPr/>
      </w:pPr>
      <w:bookmarkStart w:colFirst="0" w:colLast="0" w:name="_heading=h.1fob9te" w:id="2"/>
      <w:bookmarkEnd w:id="2"/>
      <w:r w:rsidDel="00000000" w:rsidR="00000000" w:rsidRPr="00000000">
        <w:rPr>
          <w:rtl w:val="0"/>
        </w:rPr>
        <w:t xml:space="preserve">B. (Skip if not applicable) Countries with conscription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so, what are the legislative provisions that govern the procedures? Please give full details.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conscription?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military service?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provision is there for the exemption of conscientious objectors?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conscripts sign up for subsequent voluntary service?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reservist obligations apply, what is the call up procedure for reserve service?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in recent years for evasion/refusal of military service? How many of these had declared conscientious objections? What were the outcomes, and what sentences were imposed?</w:t>
      </w:r>
    </w:p>
    <w:p w:rsidR="00000000" w:rsidDel="00000000" w:rsidP="00000000" w:rsidRDefault="00000000" w:rsidRPr="00000000" w14:paraId="00000013">
      <w:pPr>
        <w:pStyle w:val="Heading3"/>
        <w:rPr/>
      </w:pPr>
      <w:bookmarkStart w:colFirst="0" w:colLast="0" w:name="_heading=h.3znysh7" w:id="3"/>
      <w:bookmarkEnd w:id="3"/>
      <w:r w:rsidDel="00000000" w:rsidR="00000000" w:rsidRPr="00000000">
        <w:rPr>
          <w:rtl w:val="0"/>
        </w:rPr>
        <w:t xml:space="preserve">C. (Skip if not applicable) Countries without conscription</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any legislation regarding obligatory military service (conscription) been abolished, or has it merely been suspended, meaning that it could be reimposed at any time?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Suspended 2010 under Article 42 of Law 9999, Could be reinstated in time of war.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 ongoing registration procedure for those liable for military service? Is it possible for a conscientious objector to refuse to be registered? From what age is registration required?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cases of rejection, when they do not meet the specified criteria.</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a recruitment procedure for active soldier/sailor. Any citizen of the Republic of Albania can apply to join the Armed Forces, by meeting minimum age 18 years old and maximum age 30 years old (exception for healthcare personnel).</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suspended, are there specific provisions regarding the circumstances in which it could be reinstated and the process to be followed?</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reinstatement mean that previous legislation regarding conscientious objection would remain applicable? If so, please answer sections F and G with regard to such legislation.</w:t>
      </w:r>
    </w:p>
    <w:p w:rsidR="00000000" w:rsidDel="00000000" w:rsidP="00000000" w:rsidRDefault="00000000" w:rsidRPr="00000000" w14:paraId="0000001C">
      <w:pPr>
        <w:pStyle w:val="Heading3"/>
        <w:spacing w:after="80" w:line="240" w:lineRule="auto"/>
        <w:rPr/>
      </w:pPr>
      <w:bookmarkStart w:colFirst="0" w:colLast="0" w:name="_heading=h.2et92p0" w:id="4"/>
      <w:bookmarkEnd w:id="4"/>
      <w:r w:rsidDel="00000000" w:rsidR="00000000" w:rsidRPr="00000000">
        <w:rPr>
          <w:rtl w:val="0"/>
        </w:rPr>
        <w:t xml:space="preserve">D. School system</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attendance at any days of introduction to the armed forces or military careers or other programmes which could be seen as preparatory to military recruitment an obligatory part of the secondary education curriculum?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it is not obligatory for secondary education program.</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armed forces have access to personal data of students?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Armed Forces does not have access to personal data of students.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military institutions offer temporary programs to students aged under 18 to learn more about military careers?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Albanian Armed Forces do not have programs for students aged under 18.</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AAF organize different activities in city centers, schools and military units to provide youth with more knowledge about the Armed Forces.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military personnel involved in teaching classes at schools, on a temporary or long-term basis?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029">
      <w:pPr>
        <w:pStyle w:val="Heading3"/>
        <w:rPr/>
      </w:pPr>
      <w:bookmarkStart w:colFirst="0" w:colLast="0" w:name="_heading=h.tyjcwt" w:id="5"/>
      <w:bookmarkEnd w:id="5"/>
      <w:r w:rsidDel="00000000" w:rsidR="00000000" w:rsidRPr="00000000">
        <w:rPr>
          <w:rtl w:val="0"/>
        </w:rPr>
        <w:t xml:space="preserve">E. Voluntary recruitment into military service</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incentives or measures are used by the national armed forces to encourage voluntary recruitment? (financial incentives, scholarships, career prospects, advertising, etc.)</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financial incentives and career prospects that are used by armed forces to encourage the youth.</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recruitment?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Minimum age 18 years old.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the total first-time military recruitment in recent years? Please disaggregate by age, gender and (if appropriate) whether as conscripts or volunteers.</w:t>
      </w:r>
    </w:p>
    <w:tbl>
      <w:tblPr>
        <w:tblStyle w:val="Table1"/>
        <w:tblW w:w="9433.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8"/>
        <w:gridCol w:w="1980"/>
        <w:gridCol w:w="3671"/>
        <w:gridCol w:w="1729"/>
        <w:gridCol w:w="1315"/>
        <w:tblGridChange w:id="0">
          <w:tblGrid>
            <w:gridCol w:w="738"/>
            <w:gridCol w:w="1980"/>
            <w:gridCol w:w="3671"/>
            <w:gridCol w:w="1729"/>
            <w:gridCol w:w="1315"/>
          </w:tblGrid>
        </w:tblGridChange>
      </w:tblGrid>
      <w:tr>
        <w:trPr>
          <w:cantSplit w:val="0"/>
          <w:tblHeader w:val="0"/>
        </w:trPr>
        <w:tc>
          <w:tcPr>
            <w:vMerge w:val="restart"/>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w:t>
            </w:r>
          </w:p>
        </w:tc>
        <w:tc>
          <w:tcPr>
            <w:vMerge w:val="restart"/>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Age</w:t>
            </w:r>
          </w:p>
        </w:tc>
        <w:tc>
          <w:tcPr>
            <w:vMerge w:val="restart"/>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Recruitment for 2024</w:t>
            </w:r>
          </w:p>
        </w:tc>
        <w:tc>
          <w:tcPr>
            <w:gridSpan w:val="2"/>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Gender</w:t>
            </w:r>
          </w:p>
        </w:tc>
      </w:tr>
      <w:tr>
        <w:trPr>
          <w:cantSplit w:val="0"/>
          <w:tblHeader w:val="0"/>
        </w:trPr>
        <w:tc>
          <w:tcPr>
            <w:vMerge w:val="continue"/>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w:t>
            </w:r>
          </w:p>
        </w:tc>
      </w:tr>
      <w:tr>
        <w:trPr>
          <w:cantSplit w:val="0"/>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3C">
            <w:pPr>
              <w:rPr/>
            </w:pPr>
            <w:r w:rsidDel="00000000" w:rsidR="00000000" w:rsidRPr="00000000">
              <w:rPr>
                <w:rtl w:val="0"/>
              </w:rPr>
              <w:t xml:space="preserve">18-22</w:t>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282</w:t>
            </w:r>
          </w:p>
        </w:tc>
        <w:tc>
          <w:tcPr>
            <w:vMerge w:val="restart"/>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631</w:t>
            </w:r>
          </w:p>
        </w:tc>
        <w:tc>
          <w:tcPr>
            <w:vMerge w:val="restart"/>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w:t>
            </w:r>
          </w:p>
        </w:tc>
      </w:tr>
      <w:tr>
        <w:trPr>
          <w:cantSplit w:val="0"/>
          <w:tblHeader w:val="0"/>
        </w:trPr>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23-26</w:t>
            </w:r>
          </w:p>
        </w:tc>
        <w:tc>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223</w:t>
            </w:r>
          </w:p>
        </w:tc>
        <w:tc>
          <w:tcPr>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27-30</w:t>
            </w:r>
          </w:p>
        </w:tc>
        <w:tc>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207</w:t>
            </w:r>
          </w:p>
        </w:tc>
        <w:tc>
          <w:tcPr>
            <w:vMerge w:val="continue"/>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governs voluntary recruitment into military service?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Voluntary recruitment into military service is governed by law and sub laws. Law No. 59, established in 2014, governs the military career in the Armed Forces of the Republic of Albania.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service initially required?</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duration of service after the recruitment phase and completion of the basic course is defined by an initial contract lasting for a period of three years.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recruits sign up for a second period of the same length or longer?</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2020 Statistics for Enlisted shows that 72 % of recruits signed up for e second period of the same length or longer.</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2021 Statistics for Enlisted shows that 76 % of recruits signed up for e second period of the same length or longer.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called up for reserve service, and of what duration?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reserve law has recently been approved; there are still other legal acts to be in place in order to make it efficient.</w:t>
      </w:r>
    </w:p>
    <w:p w:rsidR="00000000" w:rsidDel="00000000" w:rsidP="00000000" w:rsidRDefault="00000000" w:rsidRPr="00000000" w14:paraId="00000057">
      <w:pPr>
        <w:pStyle w:val="Heading3"/>
        <w:spacing w:after="80" w:line="240" w:lineRule="auto"/>
        <w:rPr/>
      </w:pPr>
      <w:bookmarkStart w:colFirst="0" w:colLast="0" w:name="_heading=h.3dy6vkm" w:id="6"/>
      <w:bookmarkEnd w:id="6"/>
      <w:r w:rsidDel="00000000" w:rsidR="00000000" w:rsidRPr="00000000">
        <w:rPr>
          <w:rtl w:val="0"/>
        </w:rPr>
        <w:t xml:space="preserve">F. Application process for recognition of conscientious objectors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process is used to decide upon applications for the recognition of conscientious objectors?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provided to conscripts regarding the possibility of applying for recognition?</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body is responsible for deciding upon applications?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sits in the responsible body?</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how many applications were received? How many were successful on first consideration; how many unsuccessful applications were appealed, and with what results?</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able to indicate on which grounds any were rejected?</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the decision be appealed?</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legal provisions for those who also refuse to perform alternative service?</w:t>
      </w:r>
    </w:p>
    <w:p w:rsidR="00000000" w:rsidDel="00000000" w:rsidP="00000000" w:rsidRDefault="00000000" w:rsidRPr="00000000" w14:paraId="00000060">
      <w:pPr>
        <w:pStyle w:val="Heading3"/>
        <w:spacing w:after="80" w:line="240" w:lineRule="auto"/>
        <w:rPr/>
      </w:pPr>
      <w:bookmarkStart w:colFirst="0" w:colLast="0" w:name="_heading=h.1t3h5sf" w:id="7"/>
      <w:bookmarkEnd w:id="7"/>
      <w:r w:rsidDel="00000000" w:rsidR="00000000" w:rsidRPr="00000000">
        <w:rPr>
          <w:rtl w:val="0"/>
        </w:rPr>
        <w:t xml:space="preserve">G. Terms of alternative service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alternative service is / would be required of conscientious objectors, under what authority are the arrangements administered?</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alternative service?</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duration of military service would the objector otherwise have been liable?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rate of remuneration?</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the rate of remuneration compare to that of military conscripts?</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Which bodies offer alternative service placements?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conscientious objectors assigned to placements, or do they have a free choice?</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it possible to perform alternative service while continuing to live at one’s permanent address?</w:t>
      </w:r>
    </w:p>
    <w:p w:rsidR="00000000" w:rsidDel="00000000" w:rsidP="00000000" w:rsidRDefault="00000000" w:rsidRPr="00000000" w14:paraId="00000069">
      <w:pPr>
        <w:pStyle w:val="Heading3"/>
        <w:rPr/>
      </w:pPr>
      <w:bookmarkStart w:colFirst="0" w:colLast="0" w:name="_heading=h.4d34og8" w:id="8"/>
      <w:bookmarkEnd w:id="8"/>
      <w:r w:rsidDel="00000000" w:rsidR="00000000" w:rsidRPr="00000000">
        <w:rPr>
          <w:rtl w:val="0"/>
        </w:rPr>
        <w:t xml:space="preserve">H. Conscientious objection during military service of conscripts/volunteers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serving member of the armed forces who applied for release having developed conscientious objection?</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procedures are followed in the event of an application?</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available to serving personnel about the right of conscientious objection and the means of applying for release?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such cases been recorded in recent years? Please give details of the number of applications, the number of acceptances.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details, if relevant, of the grounds for any rejections.</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for desertion? Were any of these persons who had declared themselves conscientious objectors? What was the outcome, and what sentences were imposed?</w:t>
      </w:r>
    </w:p>
    <w:p w:rsidR="00000000" w:rsidDel="00000000" w:rsidP="00000000" w:rsidRDefault="00000000" w:rsidRPr="00000000" w14:paraId="00000070">
      <w:pPr>
        <w:pStyle w:val="Heading3"/>
        <w:spacing w:after="80" w:line="240" w:lineRule="auto"/>
        <w:rPr/>
      </w:pPr>
      <w:bookmarkStart w:colFirst="0" w:colLast="0" w:name="_heading=h.2s8eyo1" w:id="9"/>
      <w:bookmarkEnd w:id="9"/>
      <w:r w:rsidDel="00000000" w:rsidR="00000000" w:rsidRPr="00000000">
        <w:rPr>
          <w:rtl w:val="0"/>
        </w:rPr>
        <w:t xml:space="preserve">I. Conscientious objection after military service</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reservist who applied for recognition as a conscientious objector?</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persons sought to refuse reserve service on this basis in recent years? With what results?</w:t>
      </w:r>
    </w:p>
    <w:p w:rsidR="00000000" w:rsidDel="00000000" w:rsidP="00000000" w:rsidRDefault="00000000" w:rsidRPr="00000000" w14:paraId="00000073">
      <w:pPr>
        <w:pStyle w:val="Heading3"/>
        <w:spacing w:after="80" w:line="240" w:lineRule="auto"/>
        <w:rPr/>
      </w:pPr>
      <w:bookmarkStart w:colFirst="0" w:colLast="0" w:name="_heading=h.17dp8vu" w:id="10"/>
      <w:bookmarkEnd w:id="10"/>
      <w:r w:rsidDel="00000000" w:rsidR="00000000" w:rsidRPr="00000000">
        <w:rPr>
          <w:rtl w:val="0"/>
        </w:rPr>
        <w:t xml:space="preserve">J. Asylum for conscientious objectors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it be possible for you to obtain statistics on approvals/rejections of those asylum applications in your country that were citing conscientious objection?</w:t>
      </w:r>
    </w:p>
    <w:p w:rsidR="00000000" w:rsidDel="00000000" w:rsidP="00000000" w:rsidRDefault="00000000" w:rsidRPr="00000000" w14:paraId="00000075">
      <w:pPr>
        <w:pStyle w:val="Heading3"/>
        <w:spacing w:after="80" w:line="240" w:lineRule="auto"/>
        <w:rPr/>
      </w:pPr>
      <w:bookmarkStart w:colFirst="0" w:colLast="0" w:name="_heading=h.3rdcrjn" w:id="11"/>
      <w:bookmarkEnd w:id="11"/>
      <w:r w:rsidDel="00000000" w:rsidR="00000000" w:rsidRPr="00000000">
        <w:rPr>
          <w:rtl w:val="0"/>
        </w:rPr>
        <w:t xml:space="preserve">K. Developments since last year</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1"/>
            <w:i w:val="1"/>
            <w:smallCaps w:val="0"/>
            <w:strike w:val="0"/>
            <w:color w:val="1155cc"/>
            <w:sz w:val="24"/>
            <w:szCs w:val="24"/>
            <w:u w:val="single"/>
            <w:shd w:fill="auto" w:val="clear"/>
            <w:vertAlign w:val="baseline"/>
            <w:rtl w:val="0"/>
          </w:rPr>
          <w:t xml:space="preserve">Here you can find the information published in last year’s Report</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legislative changes have happened within the last year?</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any legal initiative undergoing at the Parliament or any other state body which concerns the military service, the right to conscientious objection, or related issues?</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Anything else that you would like to report?</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inline distB="0" distT="0" distL="0" distR="0">
                <wp:extent cx="6489065" cy="28575"/>
                <wp:effectExtent b="0" l="0" r="0" t="0"/>
                <wp:docPr id="6" name=""/>
                <a:graphic>
                  <a:graphicData uri="http://schemas.microsoft.com/office/word/2010/wordprocessingShape">
                    <wps:wsp>
                      <wps:cNvSpPr/>
                      <wps:cNvPr id="3" name="Shape 3"/>
                      <wps:spPr>
                        <a:xfrm>
                          <a:off x="2106180" y="3770460"/>
                          <a:ext cx="6479640" cy="1908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489065" cy="28575"/>
                <wp:effectExtent b="0" l="0" r="0" t="0"/>
                <wp:docPr id="6"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489065" cy="2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80"/>
          <w:sz w:val="16"/>
          <w:szCs w:val="16"/>
          <w:u w:val="none"/>
          <w:shd w:fill="auto" w:val="clear"/>
          <w:vertAlign w:val="baseline"/>
          <w:rtl w:val="0"/>
        </w:rPr>
        <w:t xml:space="preserve">EBCO was founded in Brussels in 1979 as an umbrella structure for national associations of conscientious objectors in the European countries to promote the right to conscientious objection to preparations for, and participation in, war and any other type of military activity as a fundamental human right. It enjoys participatory status with the Council of Europe since 1998 and is a member of its Conference of International Non-Governmental Organisations since 2005. It provides expertise and legal opinions on behalf of the Directorate General of Human Rights and Legal Affairs of the Council of Europe. It is involved in drawing up the annual report of the Committee on Civil Liberties, Justice and Home Affairs of the European Parliament on the application by the Member States of its resolutions on conscientious objection and civilian service, as determined in the “Bandrés Molet &amp; Bindi Resolution” of 1994. It is a full member of the European Youth Forum since 1995.</w:t>
      </w:r>
      <w:r w:rsidDel="00000000" w:rsidR="00000000" w:rsidRPr="00000000">
        <w:rPr>
          <w:rtl w:val="0"/>
        </w:rPr>
      </w:r>
    </w:p>
    <w:sectPr>
      <w:headerReference r:id="rId13" w:type="default"/>
      <w:footerReference r:id="rId14" w:type="default"/>
      <w:footerReference r:id="rId15" w:type="first"/>
      <w:footerReference r:id="rId16" w:type="even"/>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i w:val="1"/>
      </w:rPr>
    </w:pPr>
    <w:r w:rsidDel="00000000" w:rsidR="00000000" w:rsidRPr="00000000">
      <w:rPr>
        <w:i w:val="1"/>
        <w:rtl w:val="0"/>
      </w:rPr>
      <w:t xml:space="preserve">Response by the Ministry of Defense of Albania, dated 24 January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1"/>
    <w:next w:val="normal1"/>
    <w:qFormat w:val="1"/>
    <w:pPr>
      <w:keepNext w:val="1"/>
      <w:outlineLvl w:val="0"/>
    </w:pPr>
    <w:rPr>
      <w:rFonts w:ascii="Arial" w:cs="Arial" w:eastAsia="Arial" w:hAnsi="Arial"/>
      <w:sz w:val="22"/>
      <w:szCs w:val="22"/>
      <w:u w:val="single"/>
    </w:rPr>
  </w:style>
  <w:style w:type="paragraph" w:styleId="Heading2">
    <w:name w:val="heading 2"/>
    <w:basedOn w:val="normal1"/>
    <w:next w:val="normal1"/>
    <w:qFormat w:val="1"/>
    <w:pPr>
      <w:keepNext w:val="1"/>
      <w:spacing w:after="60" w:before="240"/>
      <w:outlineLvl w:val="1"/>
    </w:pPr>
    <w:rPr>
      <w:rFonts w:ascii="Arial" w:cs="Arial" w:eastAsia="Arial" w:hAnsi="Arial"/>
      <w:b w:val="1"/>
      <w:i w:val="1"/>
      <w:sz w:val="28"/>
      <w:szCs w:val="28"/>
    </w:rPr>
  </w:style>
  <w:style w:type="paragraph" w:styleId="Heading3">
    <w:name w:val="heading 3"/>
    <w:basedOn w:val="normal1"/>
    <w:next w:val="normal1"/>
    <w:qFormat w:val="1"/>
    <w:pPr>
      <w:keepNext w:val="1"/>
      <w:spacing w:after="60" w:before="240" w:line="276" w:lineRule="auto"/>
      <w:outlineLvl w:val="2"/>
    </w:pPr>
    <w:rPr>
      <w:b w:val="1"/>
      <w:sz w:val="30"/>
      <w:szCs w:val="30"/>
    </w:rPr>
  </w:style>
  <w:style w:type="paragraph" w:styleId="Heading4">
    <w:name w:val="heading 4"/>
    <w:basedOn w:val="normal1"/>
    <w:next w:val="normal1"/>
    <w:qFormat w:val="1"/>
    <w:pPr>
      <w:keepNext w:val="1"/>
      <w:keepLines w:val="1"/>
      <w:spacing w:after="40" w:before="240"/>
      <w:outlineLvl w:val="3"/>
    </w:pPr>
    <w:rPr>
      <w:b w:val="1"/>
    </w:rPr>
  </w:style>
  <w:style w:type="paragraph" w:styleId="Heading5">
    <w:name w:val="heading 5"/>
    <w:basedOn w:val="normal1"/>
    <w:next w:val="normal1"/>
    <w:qFormat w:val="1"/>
    <w:pPr>
      <w:spacing w:after="60" w:before="240"/>
      <w:outlineLvl w:val="4"/>
    </w:pPr>
    <w:rPr>
      <w:rFonts w:cs="Times New Roman" w:eastAsia="Times New Roman"/>
      <w:b w:val="1"/>
      <w:i w:val="1"/>
      <w:sz w:val="26"/>
      <w:szCs w:val="26"/>
    </w:rPr>
  </w:style>
  <w:style w:type="paragraph" w:styleId="Heading6">
    <w:name w:val="heading 6"/>
    <w:basedOn w:val="normal1"/>
    <w:next w:val="norm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color w:val="000080"/>
      <w:u w:val="single"/>
    </w:rPr>
  </w:style>
  <w:style w:type="paragraph" w:styleId="Heading" w:customStyle="1">
    <w:name w:val="Heading"/>
    <w:basedOn w:val="Normal"/>
    <w:next w:val="BodyText"/>
    <w:qFormat w:val="1"/>
    <w:pPr>
      <w:keepNext w:val="1"/>
      <w:spacing w:after="120" w:before="240"/>
    </w:pPr>
    <w:rPr>
      <w:rFonts w:ascii="Roboto Slab" w:eastAsia="Noto Sans CJK SC" w:hAnsi="Roboto Slab"/>
      <w:sz w:val="32"/>
      <w:szCs w:val="28"/>
    </w:rPr>
  </w:style>
  <w:style w:type="paragraph" w:styleId="BodyText">
    <w:name w:val="Body Text"/>
    <w:basedOn w:val="Normal"/>
    <w:pPr>
      <w:spacing w:after="140" w:line="276" w:lineRule="auto"/>
    </w:pPr>
  </w:style>
  <w:style w:type="paragraph" w:styleId="List">
    <w:name w:val="List"/>
    <w:basedOn w:val="BodyText"/>
    <w:rPr>
      <w:rFonts w:ascii="Roboto Condensed" w:hAnsi="Roboto Condensed"/>
    </w:rPr>
  </w:style>
  <w:style w:type="paragraph" w:styleId="Caption">
    <w:name w:val="caption"/>
    <w:basedOn w:val="Normal"/>
    <w:qFormat w:val="1"/>
    <w:pPr>
      <w:suppressLineNumbers w:val="1"/>
      <w:spacing w:after="120" w:before="120"/>
    </w:pPr>
    <w:rPr>
      <w:rFonts w:ascii="Roboto Condensed" w:hAnsi="Roboto Condensed"/>
      <w:i w:val="1"/>
      <w:iCs w:val="1"/>
    </w:rPr>
  </w:style>
  <w:style w:type="paragraph" w:styleId="Index" w:customStyle="1">
    <w:name w:val="Index"/>
    <w:basedOn w:val="Normal"/>
    <w:qFormat w:val="1"/>
    <w:pPr>
      <w:suppressLineNumbers w:val="1"/>
    </w:pPr>
    <w:rPr>
      <w:rFonts w:ascii="Roboto Condensed" w:hAnsi="Roboto Condensed"/>
    </w:rPr>
  </w:style>
  <w:style w:type="paragraph" w:styleId="normal1" w:customStyle="1">
    <w:name w:val="normal1"/>
    <w:qFormat w:val="1"/>
  </w:style>
  <w:style w:type="paragraph" w:styleId="Title">
    <w:name w:val="Title"/>
    <w:basedOn w:val="normal1"/>
    <w:next w:val="normal1"/>
    <w:qFormat w:val="1"/>
    <w:pPr>
      <w:keepNext w:val="1"/>
      <w:keepLines w:val="1"/>
      <w:spacing w:after="120" w:before="480"/>
    </w:pPr>
    <w:rPr>
      <w:b w:val="1"/>
      <w:sz w:val="72"/>
      <w:szCs w:val="72"/>
    </w:rPr>
  </w:style>
  <w:style w:type="paragraph" w:styleId="Subtitle">
    <w:name w:val="Subtitle"/>
    <w:basedOn w:val="normal1"/>
    <w:next w:val="normal1"/>
    <w:qFormat w:val="1"/>
    <w:pPr>
      <w:keepNext w:val="1"/>
      <w:keepLines w:val="1"/>
      <w:spacing w:after="80" w:before="360"/>
    </w:pPr>
    <w:rPr>
      <w:rFonts w:ascii="Georgia" w:cs="Georgia" w:eastAsia="Georgia" w:hAnsi="Georgia"/>
      <w:i w:val="1"/>
      <w:color w:val="666666"/>
      <w:sz w:val="48"/>
      <w:szCs w:val="48"/>
    </w:rPr>
  </w:style>
  <w:style w:type="paragraph" w:styleId="FrameContents" w:customStyle="1">
    <w:name w:val="Frame Contents"/>
    <w:basedOn w:val="Normal"/>
    <w:qFormat w:val="1"/>
  </w:style>
  <w:style w:type="paragraph" w:styleId="HeaderandFooter" w:customStyle="1">
    <w:name w:val="Header and Footer"/>
    <w:basedOn w:val="Normal"/>
    <w:qFormat w:val="1"/>
  </w:style>
  <w:style w:type="paragraph" w:styleId="Footer">
    <w:name w:val="footer"/>
    <w:basedOn w:val="HeaderandFooter"/>
  </w:style>
  <w:style w:type="table" w:styleId="TableGrid">
    <w:name w:val="Table Grid"/>
    <w:basedOn w:val="TableNormal"/>
    <w:uiPriority w:val="39"/>
    <w:rsid w:val="002361E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mailto:ebco@ebco-beoc.eu" TargetMode="External"/><Relationship Id="rId13" Type="http://schemas.openxmlformats.org/officeDocument/2006/relationships/header" Target="header1.xml"/><Relationship Id="rId12" Type="http://schemas.openxmlformats.org/officeDocument/2006/relationships/hyperlink" Target="https://ebco-beoc.org/sites/ebco-beoc.org/files/2024-05-15-EBCO_Annual_Report_2023-24.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bco-beoc.org/"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9NMssevSfHn1tJIlaAyxn0yLHg==">CgMxLjAyCGguZ2pkZ3hzMgloLjMwajB6bGwyCWguMWZvYjl0ZTIJaC4zem55c2g3MgloLjJldDkycDAyCGgudHlqY3d0MgloLjNkeTZ2a20yCWguMXQzaDVzZjIJaC40ZDM0b2c4MgloLjJzOGV5bzEyCWguMTdkcDh2dTIJaC4zcmRjcmpuOAByITE0TE8tSFpHUDItbVRzLXF6NkppT3J4Y1UxeTlKQ1V4MA==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2025-01-20T09:45:00Z</dcterms:created>
</cp:coreProperties>
</file>