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0FDC" w:rsidRPr="006E7C85" w:rsidRDefault="001E7A3B">
      <w:pPr>
        <w:pStyle w:val="2"/>
        <w:rPr>
          <w:color w:val="auto"/>
          <w:sz w:val="18"/>
          <w:szCs w:val="18"/>
          <w:lang w:val="el-GR"/>
        </w:rPr>
      </w:pPr>
      <w:bookmarkStart w:id="0" w:name="X5701d62c6ee6d97a58763c2d441cb76053ace37"/>
      <w:r w:rsidRPr="006E7C85">
        <w:rPr>
          <w:color w:val="auto"/>
          <w:sz w:val="18"/>
          <w:szCs w:val="18"/>
          <w:lang w:val="el-GR"/>
        </w:rPr>
        <w:t>Ερωτηματολόγιο για την ετήσια έκθεση του Ευρωπαϊκού Γραφείου για την Αντίρρηση Συνείδησης (</w:t>
      </w:r>
      <w:r w:rsidRPr="006E7C85">
        <w:rPr>
          <w:color w:val="auto"/>
          <w:sz w:val="18"/>
          <w:szCs w:val="18"/>
        </w:rPr>
        <w:t>EBCO</w:t>
      </w:r>
      <w:r w:rsidRPr="006E7C85">
        <w:rPr>
          <w:color w:val="auto"/>
          <w:sz w:val="18"/>
          <w:szCs w:val="18"/>
          <w:lang w:val="el-GR"/>
        </w:rPr>
        <w:t>) για το έτος 2025</w:t>
      </w:r>
    </w:p>
    <w:p w:rsidR="0004793B" w:rsidRPr="006E7C85" w:rsidRDefault="0004793B" w:rsidP="0004793B">
      <w:pPr>
        <w:pStyle w:val="normal1"/>
        <w:spacing w:before="120" w:after="240"/>
        <w:jc w:val="center"/>
        <w:rPr>
          <w:rFonts w:ascii="Noto Sans" w:hAnsi="Noto Sans" w:cs="Noto Sans"/>
          <w:b/>
          <w:color w:val="0070C0"/>
          <w:lang w:val="el-GR"/>
        </w:rPr>
      </w:pPr>
      <w:r w:rsidRPr="006E7C85">
        <w:rPr>
          <w:rFonts w:ascii="Noto Sans" w:hAnsi="Noto Sans" w:cs="Noto Sans"/>
          <w:b/>
          <w:color w:val="0070C0"/>
          <w:lang w:val="el-GR"/>
        </w:rPr>
        <w:t>Απαντήσεις από το Συνήγορο του Πολίτη (30.1.2025)</w:t>
      </w:r>
    </w:p>
    <w:p w:rsidR="00BF0FDC" w:rsidRPr="001E7A3B" w:rsidRDefault="001E7A3B">
      <w:pPr>
        <w:pStyle w:val="3"/>
        <w:rPr>
          <w:b w:val="0"/>
          <w:sz w:val="20"/>
          <w:szCs w:val="20"/>
          <w:lang w:val="el-GR"/>
        </w:rPr>
      </w:pPr>
      <w:bookmarkStart w:id="1" w:name="εξελίξεις-στον-χρόνο-που-πέρασε"/>
      <w:r w:rsidRPr="001E7A3B">
        <w:rPr>
          <w:b w:val="0"/>
          <w:sz w:val="20"/>
          <w:szCs w:val="20"/>
          <w:lang w:val="el-GR"/>
        </w:rPr>
        <w:t>Εξελίξεις στον χρόνο που πέρασε</w:t>
      </w:r>
    </w:p>
    <w:p w:rsidR="00BF0FDC" w:rsidRPr="001E7A3B" w:rsidRDefault="001E7A3B">
      <w:pPr>
        <w:pStyle w:val="Compact"/>
        <w:numPr>
          <w:ilvl w:val="0"/>
          <w:numId w:val="17"/>
        </w:numPr>
        <w:rPr>
          <w:color w:val="0070C0"/>
          <w:szCs w:val="20"/>
          <w:lang w:val="el-GR"/>
        </w:rPr>
      </w:pPr>
      <w:r w:rsidRPr="001E7A3B">
        <w:rPr>
          <w:szCs w:val="20"/>
          <w:lang w:val="el-GR"/>
        </w:rPr>
        <w:t>Τι νομοθετικές αλλαγές έλαβαν χώρα κατά το τελευταίο έτος που αφορούν τη στρατιωτική θητεία, το δικαίωμα στην αντίρρηση συνείδησης ή συναφή ζητήματα;</w:t>
      </w:r>
      <w:r w:rsidR="0004793B" w:rsidRPr="001E7A3B">
        <w:rPr>
          <w:szCs w:val="20"/>
          <w:lang w:val="el-GR"/>
        </w:rPr>
        <w:t xml:space="preserve"> </w:t>
      </w:r>
      <w:r w:rsidR="0004793B" w:rsidRPr="001E7A3B">
        <w:rPr>
          <w:rFonts w:asciiTheme="minorHAnsi" w:hAnsiTheme="minorHAnsi"/>
          <w:color w:val="0070C0"/>
          <w:szCs w:val="20"/>
          <w:lang w:val="el-GR"/>
        </w:rPr>
        <w:t xml:space="preserve">- Το Δεκέμβριο 2025 κατατέθηκε νομοσχέδιο με το οποίο αντικαθίσταται ολόκληρο το νομικό πλαίσιο που διέπει τη στρατιωτική θητεία και την αντίρρηση συνείδησης. </w:t>
      </w:r>
      <w:r>
        <w:rPr>
          <w:rFonts w:asciiTheme="minorHAnsi" w:hAnsiTheme="minorHAnsi"/>
          <w:color w:val="0070C0"/>
          <w:szCs w:val="20"/>
          <w:lang w:val="el-GR"/>
        </w:rPr>
        <w:t>Κατόπιν πρόσκλησης από την αρμόδια κοινοβουλευτική επιτροπή ο</w:t>
      </w:r>
      <w:r w:rsidR="0004793B" w:rsidRPr="001E7A3B">
        <w:rPr>
          <w:rFonts w:asciiTheme="minorHAnsi" w:hAnsiTheme="minorHAnsi"/>
          <w:color w:val="0070C0"/>
          <w:szCs w:val="20"/>
          <w:lang w:val="el-GR"/>
        </w:rPr>
        <w:t xml:space="preserve"> Συνήγορος του Πολίτη απέστειλε εκτενή σχόλια </w:t>
      </w:r>
      <w:hyperlink r:id="rId5" w:history="1">
        <w:r w:rsidR="0004793B" w:rsidRPr="001E7A3B">
          <w:rPr>
            <w:rStyle w:val="-"/>
            <w:rFonts w:asciiTheme="minorHAnsi" w:hAnsiTheme="minorHAnsi"/>
            <w:szCs w:val="20"/>
            <w:u w:val="single"/>
            <w:lang w:val="el-GR"/>
          </w:rPr>
          <w:t>https://www.synigoros.gr/api/files/download/628106</w:t>
        </w:r>
      </w:hyperlink>
      <w:r w:rsidR="0004793B" w:rsidRPr="001E7A3B">
        <w:rPr>
          <w:rFonts w:asciiTheme="minorHAnsi" w:hAnsiTheme="minorHAnsi"/>
          <w:szCs w:val="20"/>
          <w:lang w:val="el-GR"/>
        </w:rPr>
        <w:t xml:space="preserve">  </w:t>
      </w:r>
      <w:r w:rsidR="0004793B" w:rsidRPr="001E7A3B">
        <w:rPr>
          <w:rFonts w:asciiTheme="minorHAnsi" w:hAnsiTheme="minorHAnsi"/>
          <w:color w:val="0070C0"/>
          <w:szCs w:val="20"/>
          <w:lang w:val="el-GR"/>
        </w:rPr>
        <w:t>ενώ τελικά το νομοσχέδιο ψηφίστηκε και δημοσιεύθηκε στις αρχές του 2026 (νόμος 5265, ΦΕΚ 3Α/10.1.2026).</w:t>
      </w:r>
    </w:p>
    <w:p w:rsidR="00BF0FDC" w:rsidRPr="001E7A3B" w:rsidRDefault="001E7A3B">
      <w:pPr>
        <w:pStyle w:val="Compact"/>
        <w:numPr>
          <w:ilvl w:val="0"/>
          <w:numId w:val="17"/>
        </w:numPr>
        <w:rPr>
          <w:color w:val="0070C0"/>
          <w:szCs w:val="20"/>
          <w:lang w:val="el-GR"/>
        </w:rPr>
      </w:pPr>
      <w:r w:rsidRPr="001E7A3B">
        <w:rPr>
          <w:szCs w:val="20"/>
          <w:lang w:val="el-GR"/>
        </w:rPr>
        <w:t>Βρίσκετα</w:t>
      </w:r>
      <w:r w:rsidRPr="001E7A3B">
        <w:rPr>
          <w:szCs w:val="20"/>
          <w:lang w:val="el-GR"/>
        </w:rPr>
        <w:t>ι σε εξέλιξη κάποια σχετική νομοθετική διαδικασία στο Κοινοβούλιο ή σε οποιοδήποτε άλλο κρατικό όργανο;</w:t>
      </w:r>
      <w:r w:rsidR="0004793B" w:rsidRPr="001E7A3B">
        <w:rPr>
          <w:szCs w:val="20"/>
          <w:lang w:val="el-GR"/>
        </w:rPr>
        <w:t xml:space="preserve"> </w:t>
      </w:r>
      <w:r w:rsidR="0004793B" w:rsidRPr="001E7A3B">
        <w:rPr>
          <w:rFonts w:asciiTheme="minorHAnsi" w:hAnsiTheme="minorHAnsi"/>
          <w:color w:val="0070C0"/>
          <w:szCs w:val="20"/>
          <w:lang w:val="el-GR"/>
        </w:rPr>
        <w:t>- Δεν μας είναι γνωστή τέτοια εκκρεμότητα.</w:t>
      </w:r>
    </w:p>
    <w:p w:rsidR="00BF0FDC" w:rsidRPr="001E7A3B" w:rsidRDefault="001E7A3B">
      <w:pPr>
        <w:pStyle w:val="Compact"/>
        <w:numPr>
          <w:ilvl w:val="0"/>
          <w:numId w:val="17"/>
        </w:numPr>
        <w:rPr>
          <w:color w:val="0070C0"/>
          <w:szCs w:val="20"/>
          <w:lang w:val="el-GR"/>
        </w:rPr>
      </w:pPr>
      <w:r w:rsidRPr="001E7A3B">
        <w:rPr>
          <w:szCs w:val="20"/>
          <w:lang w:val="el-GR"/>
        </w:rPr>
        <w:t>Υπάρχει κάτι άλλο που θα θέλατε να αναφέρετε;</w:t>
      </w:r>
      <w:r w:rsidR="00ED3F76" w:rsidRPr="001E7A3B">
        <w:rPr>
          <w:szCs w:val="20"/>
          <w:lang w:val="el-GR"/>
        </w:rPr>
        <w:t xml:space="preserve"> </w:t>
      </w:r>
      <w:r w:rsidR="00ED3F76" w:rsidRPr="001E7A3B">
        <w:rPr>
          <w:rFonts w:asciiTheme="minorHAnsi" w:hAnsiTheme="minorHAnsi"/>
          <w:color w:val="0070C0"/>
          <w:szCs w:val="20"/>
          <w:lang w:val="el-GR"/>
        </w:rPr>
        <w:t xml:space="preserve">- </w:t>
      </w:r>
      <w:r w:rsidR="00FD5EFB" w:rsidRPr="001E7A3B">
        <w:rPr>
          <w:rFonts w:asciiTheme="minorHAnsi" w:hAnsiTheme="minorHAnsi"/>
          <w:color w:val="0070C0"/>
          <w:szCs w:val="20"/>
          <w:lang w:val="el-GR"/>
        </w:rPr>
        <w:t xml:space="preserve">Όπως είναι ήδη γνωστό στο </w:t>
      </w:r>
      <w:r w:rsidR="00FD5EFB" w:rsidRPr="001E7A3B">
        <w:rPr>
          <w:rFonts w:asciiTheme="minorHAnsi" w:hAnsiTheme="minorHAnsi"/>
          <w:color w:val="0070C0"/>
          <w:szCs w:val="20"/>
        </w:rPr>
        <w:t>EBCO</w:t>
      </w:r>
      <w:r w:rsidR="00FD5EFB" w:rsidRPr="001E7A3B">
        <w:rPr>
          <w:rFonts w:asciiTheme="minorHAnsi" w:hAnsiTheme="minorHAnsi"/>
          <w:color w:val="0070C0"/>
          <w:szCs w:val="20"/>
          <w:lang w:val="el-GR"/>
        </w:rPr>
        <w:t xml:space="preserve">, ο Συνήγορος του Πολίτη έχει ασχοληθεί επισταμένως με την εναλλακτική υπηρεσία των αντιρρησιών συνείδησης, </w:t>
      </w:r>
      <w:r w:rsidR="00FD5EFB" w:rsidRPr="001E7A3B">
        <w:rPr>
          <w:rFonts w:asciiTheme="minorHAnsi" w:hAnsiTheme="minorHAnsi"/>
          <w:color w:val="0070C0"/>
          <w:szCs w:val="20"/>
          <w:lang w:val="el-GR"/>
        </w:rPr>
        <w:t xml:space="preserve">ενώ δημοσίευσε και σχετική ειδική έκθεση </w:t>
      </w:r>
      <w:hyperlink r:id="rId6" w:history="1">
        <w:r w:rsidR="00FD5EFB" w:rsidRPr="001E7A3B">
          <w:rPr>
            <w:rStyle w:val="-"/>
            <w:rFonts w:asciiTheme="minorHAnsi" w:hAnsiTheme="minorHAnsi"/>
            <w:szCs w:val="20"/>
            <w:u w:val="single"/>
            <w:lang w:val="el-GR"/>
          </w:rPr>
          <w:t>https://www.synigoros.gr/api/files/download/593377</w:t>
        </w:r>
      </w:hyperlink>
      <w:r w:rsidR="00FD5EFB" w:rsidRPr="001E7A3B">
        <w:rPr>
          <w:rFonts w:asciiTheme="minorHAnsi" w:hAnsiTheme="minorHAnsi"/>
          <w:color w:val="0070C0"/>
          <w:szCs w:val="20"/>
          <w:lang w:val="el-GR"/>
        </w:rPr>
        <w:t xml:space="preserve"> </w:t>
      </w:r>
      <w:r w:rsidR="00FD5EFB" w:rsidRPr="001E7A3B">
        <w:rPr>
          <w:rFonts w:asciiTheme="minorHAnsi" w:hAnsiTheme="minorHAnsi"/>
          <w:color w:val="0070C0"/>
          <w:szCs w:val="20"/>
          <w:lang w:val="el-GR"/>
        </w:rPr>
        <w:t xml:space="preserve">. Είναι, όμως, γεγονός ότι τα τελευταία χρόνια, ιδίως μετά τη μείωση της διάρκειας της εναλλακτικής υπηρεσίας και την ανασύνθεση της αρμόδιας επιτροπής, οι σχετικές αναφορές, είτε από υπηρετούντες αντιρρησίες είτε από ενδιαφερόμενους να υπαχθούν στο καθεστώς αυτό, είναι ελάχιστες και κατά κανόνα εστιάζονται σε ειδικά θέματα όπως η </w:t>
      </w:r>
      <w:proofErr w:type="spellStart"/>
      <w:r w:rsidR="00FD5EFB" w:rsidRPr="001E7A3B">
        <w:rPr>
          <w:rFonts w:asciiTheme="minorHAnsi" w:hAnsiTheme="minorHAnsi"/>
          <w:color w:val="0070C0"/>
          <w:szCs w:val="20"/>
          <w:lang w:val="el-GR"/>
        </w:rPr>
        <w:t>καταλληλότητα</w:t>
      </w:r>
      <w:proofErr w:type="spellEnd"/>
      <w:r w:rsidR="00FD5EFB" w:rsidRPr="001E7A3B">
        <w:rPr>
          <w:rFonts w:asciiTheme="minorHAnsi" w:hAnsiTheme="minorHAnsi"/>
          <w:color w:val="0070C0"/>
          <w:szCs w:val="20"/>
          <w:lang w:val="el-GR"/>
        </w:rPr>
        <w:t xml:space="preserve"> της παρεχόμενης στέγης (ως προϋπόθεση για τη διεκδίκηση αποζημίωσης) </w:t>
      </w:r>
      <w:r w:rsidRPr="001E7A3B">
        <w:rPr>
          <w:rFonts w:asciiTheme="minorHAnsi" w:hAnsiTheme="minorHAnsi"/>
          <w:color w:val="0070C0"/>
          <w:szCs w:val="20"/>
          <w:lang w:val="el-GR"/>
        </w:rPr>
        <w:t>ή</w:t>
      </w:r>
      <w:r w:rsidR="00FD5EFB" w:rsidRPr="001E7A3B">
        <w:rPr>
          <w:rFonts w:asciiTheme="minorHAnsi" w:hAnsiTheme="minorHAnsi"/>
          <w:color w:val="0070C0"/>
          <w:szCs w:val="20"/>
          <w:lang w:val="el-GR"/>
        </w:rPr>
        <w:t xml:space="preserve"> ο τρόπος υπολογισμού του χρόνου απόλυσης (προσμέτρηση αδειών ή αδικαιολόγητων απουσιών). Παραμένουν, πάντως, και επαναλαμβάνονται σε κάθε ευκαιρία, οι αντιρρήσεις του Συνηγόρου του Πολίτη τόσο γι’ αυτή καθ’ εαυτή τη διαδικασία υπαγωγής (Ετήσια Έκθεση 2013</w:t>
      </w:r>
      <w:r w:rsidRPr="001E7A3B">
        <w:rPr>
          <w:rFonts w:asciiTheme="minorHAnsi" w:hAnsiTheme="minorHAnsi"/>
          <w:color w:val="0070C0"/>
          <w:szCs w:val="20"/>
          <w:lang w:val="el-GR"/>
        </w:rPr>
        <w:t xml:space="preserve"> </w:t>
      </w:r>
      <w:hyperlink r:id="rId7" w:history="1">
        <w:r w:rsidRPr="001E7A3B">
          <w:rPr>
            <w:rStyle w:val="-"/>
            <w:rFonts w:asciiTheme="minorHAnsi" w:hAnsiTheme="minorHAnsi"/>
            <w:szCs w:val="20"/>
            <w:u w:val="single"/>
            <w:lang w:val="el-GR"/>
          </w:rPr>
          <w:t>https://www.synigoros.gr/api/files/download/540089</w:t>
        </w:r>
      </w:hyperlink>
      <w:r w:rsidRPr="001E7A3B">
        <w:rPr>
          <w:rFonts w:asciiTheme="minorHAnsi" w:hAnsiTheme="minorHAnsi"/>
          <w:color w:val="0070C0"/>
          <w:szCs w:val="20"/>
          <w:lang w:val="el-GR"/>
        </w:rPr>
        <w:t xml:space="preserve"> </w:t>
      </w:r>
      <w:r w:rsidR="00FD5EFB" w:rsidRPr="001E7A3B">
        <w:rPr>
          <w:rFonts w:asciiTheme="minorHAnsi" w:hAnsiTheme="minorHAnsi"/>
          <w:color w:val="0070C0"/>
          <w:szCs w:val="20"/>
          <w:lang w:val="el-GR"/>
        </w:rPr>
        <w:t xml:space="preserve">: </w:t>
      </w:r>
      <w:r w:rsidR="00FD5EFB" w:rsidRPr="001E7A3B">
        <w:rPr>
          <w:rFonts w:asciiTheme="minorHAnsi" w:hAnsiTheme="minorHAnsi"/>
          <w:i/>
          <w:color w:val="0070C0"/>
          <w:szCs w:val="20"/>
          <w:lang w:val="el-GR"/>
        </w:rPr>
        <w:t xml:space="preserve">«η προσωπική συνέντευξη ως μέσο διαπίστωσης λόγων συνείδησης είναι αυτή καθ’ </w:t>
      </w:r>
      <w:proofErr w:type="spellStart"/>
      <w:r w:rsidR="00FD5EFB" w:rsidRPr="001E7A3B">
        <w:rPr>
          <w:rFonts w:asciiTheme="minorHAnsi" w:hAnsiTheme="minorHAnsi"/>
          <w:i/>
          <w:color w:val="0070C0"/>
          <w:szCs w:val="20"/>
          <w:lang w:val="el-GR"/>
        </w:rPr>
        <w:t>εαυτήν</w:t>
      </w:r>
      <w:proofErr w:type="spellEnd"/>
      <w:r w:rsidR="00FD5EFB" w:rsidRPr="001E7A3B">
        <w:rPr>
          <w:rFonts w:asciiTheme="minorHAnsi" w:hAnsiTheme="minorHAnsi"/>
          <w:i/>
          <w:color w:val="0070C0"/>
          <w:szCs w:val="20"/>
          <w:lang w:val="el-GR"/>
        </w:rPr>
        <w:t xml:space="preserve"> αμφιλεγόμενη, στο μέτρο που υπάγει το ενδιάθετο φρόνημα σε έλεγχο ειλικρίνειας … καλούνται να απαντήσουν σε ερωτήσεις που άπτονται ευαίσθητων προσωπικών δεδομένων»</w:t>
      </w:r>
      <w:r w:rsidR="00FD5EFB" w:rsidRPr="001E7A3B">
        <w:rPr>
          <w:rFonts w:asciiTheme="minorHAnsi" w:hAnsiTheme="minorHAnsi"/>
          <w:color w:val="0070C0"/>
          <w:szCs w:val="20"/>
          <w:lang w:val="el-GR"/>
        </w:rPr>
        <w:t>), όσο και για τις κυρώσεις της ανυποταξίας, ειδικότερα για το δυσανάλογο ύψος του διοικητικού προστίμου, την επαναλαμβανόμενη επιβολή του και το γεγονός ότι αντιρρησίες συνείδησης παραπέμπονται να δικαστούν ενώπιον στρατιωτικών δικαστηρίων.</w:t>
      </w:r>
    </w:p>
    <w:p w:rsidR="00BF0FDC" w:rsidRPr="001E7A3B" w:rsidRDefault="001E7A3B">
      <w:pPr>
        <w:pStyle w:val="3"/>
        <w:rPr>
          <w:b w:val="0"/>
          <w:sz w:val="20"/>
          <w:szCs w:val="20"/>
        </w:rPr>
      </w:pPr>
      <w:bookmarkStart w:id="2" w:name="στατιστικά"/>
      <w:bookmarkEnd w:id="1"/>
      <w:proofErr w:type="spellStart"/>
      <w:r w:rsidRPr="001E7A3B">
        <w:rPr>
          <w:b w:val="0"/>
          <w:sz w:val="20"/>
          <w:szCs w:val="20"/>
        </w:rPr>
        <w:t>Στ</w:t>
      </w:r>
      <w:proofErr w:type="spellEnd"/>
      <w:r w:rsidRPr="001E7A3B">
        <w:rPr>
          <w:b w:val="0"/>
          <w:sz w:val="20"/>
          <w:szCs w:val="20"/>
        </w:rPr>
        <w:t>ατιστικά</w:t>
      </w:r>
    </w:p>
    <w:p w:rsidR="00BF0FDC" w:rsidRPr="001E7A3B" w:rsidRDefault="001E7A3B">
      <w:pPr>
        <w:pStyle w:val="4"/>
        <w:rPr>
          <w:szCs w:val="20"/>
        </w:rPr>
      </w:pPr>
      <w:bookmarkStart w:id="3" w:name="α.-υποχρεωτική-στράτευση"/>
      <w:r w:rsidRPr="001E7A3B">
        <w:rPr>
          <w:szCs w:val="20"/>
        </w:rPr>
        <w:t>Α. Υποχρεωτική στράτευση</w:t>
      </w:r>
    </w:p>
    <w:p w:rsidR="00BF0FDC" w:rsidRPr="001E7A3B" w:rsidRDefault="001E7A3B">
      <w:pPr>
        <w:pStyle w:val="Compact"/>
        <w:numPr>
          <w:ilvl w:val="0"/>
          <w:numId w:val="18"/>
        </w:numPr>
        <w:rPr>
          <w:color w:val="0070C0"/>
          <w:szCs w:val="20"/>
          <w:lang w:val="el-GR"/>
        </w:rPr>
      </w:pPr>
      <w:r w:rsidRPr="001E7A3B">
        <w:rPr>
          <w:szCs w:val="20"/>
          <w:lang w:val="el-GR"/>
        </w:rPr>
        <w:t>Πόσα άτομα διώχθηκαν τα τελευταία χρόνια για αποφυγή/ άρνηση στράτευση</w:t>
      </w:r>
      <w:r w:rsidRPr="001E7A3B">
        <w:rPr>
          <w:szCs w:val="20"/>
          <w:lang w:val="el-GR"/>
        </w:rPr>
        <w:t>ς; Πόσοι από αυτούς είχαν προβάλει αντίρρηση συνείδησης; Παρακαλούμε αναφέρετε τα αποτελέσματα των διώξεων καθώς και τις ποινές που επιβλήθηκαν.</w:t>
      </w:r>
      <w:r w:rsidR="0004793B" w:rsidRPr="001E7A3B">
        <w:rPr>
          <w:szCs w:val="20"/>
          <w:lang w:val="el-GR"/>
        </w:rPr>
        <w:t xml:space="preserve"> </w:t>
      </w:r>
      <w:bookmarkStart w:id="4" w:name="_Hlk220585031"/>
      <w:r w:rsidR="002E495D" w:rsidRPr="001E7A3B">
        <w:rPr>
          <w:rFonts w:asciiTheme="minorHAnsi" w:hAnsiTheme="minorHAnsi"/>
          <w:color w:val="0070C0"/>
          <w:szCs w:val="20"/>
          <w:lang w:val="el-GR"/>
        </w:rPr>
        <w:t>-</w:t>
      </w:r>
      <w:r w:rsidR="0004793B" w:rsidRPr="001E7A3B">
        <w:rPr>
          <w:rFonts w:asciiTheme="minorHAnsi" w:hAnsiTheme="minorHAnsi"/>
          <w:color w:val="0070C0"/>
          <w:szCs w:val="20"/>
          <w:lang w:val="el-GR"/>
        </w:rPr>
        <w:t xml:space="preserve"> </w:t>
      </w:r>
      <w:r w:rsidR="002E495D" w:rsidRPr="001E7A3B">
        <w:rPr>
          <w:rFonts w:asciiTheme="minorHAnsi" w:hAnsiTheme="minorHAnsi"/>
          <w:color w:val="0070C0"/>
          <w:szCs w:val="20"/>
          <w:lang w:val="el-GR"/>
        </w:rPr>
        <w:t xml:space="preserve">Το Γενικό Επιτελείο Εθνικής Άμυνας </w:t>
      </w:r>
      <w:hyperlink r:id="rId8" w:history="1">
        <w:r w:rsidR="00ED3F76" w:rsidRPr="001E7A3B">
          <w:rPr>
            <w:rStyle w:val="-"/>
            <w:rFonts w:asciiTheme="minorHAnsi" w:hAnsiTheme="minorHAnsi"/>
            <w:szCs w:val="20"/>
            <w:u w:val="single"/>
            <w:lang w:val="el-GR"/>
          </w:rPr>
          <w:t>https://www.stratologia.gr/</w:t>
        </w:r>
      </w:hyperlink>
      <w:r w:rsidR="00ED3F76" w:rsidRPr="001E7A3B">
        <w:rPr>
          <w:rFonts w:asciiTheme="minorHAnsi" w:hAnsiTheme="minorHAnsi"/>
          <w:color w:val="0070C0"/>
          <w:szCs w:val="20"/>
          <w:lang w:val="el-GR"/>
        </w:rPr>
        <w:t xml:space="preserve"> </w:t>
      </w:r>
      <w:r w:rsidR="002E495D" w:rsidRPr="001E7A3B">
        <w:rPr>
          <w:rFonts w:asciiTheme="minorHAnsi" w:hAnsiTheme="minorHAnsi"/>
          <w:color w:val="0070C0"/>
          <w:szCs w:val="20"/>
          <w:lang w:val="el-GR"/>
        </w:rPr>
        <w:t>δεν μας κοινοποιεί τέτοια στατιστικά στοιχεία.</w:t>
      </w:r>
      <w:bookmarkEnd w:id="4"/>
    </w:p>
    <w:p w:rsidR="00BF0FDC" w:rsidRPr="001E7A3B" w:rsidRDefault="001E7A3B">
      <w:pPr>
        <w:pStyle w:val="4"/>
        <w:rPr>
          <w:szCs w:val="20"/>
        </w:rPr>
      </w:pPr>
      <w:bookmarkStart w:id="5" w:name="β.-εθελοντική-στράτευση"/>
      <w:bookmarkEnd w:id="3"/>
      <w:r w:rsidRPr="001E7A3B">
        <w:rPr>
          <w:szCs w:val="20"/>
        </w:rPr>
        <w:t>Β. Εθελοντική στράτευση</w:t>
      </w:r>
    </w:p>
    <w:p w:rsidR="00BF0FDC" w:rsidRPr="001E7A3B" w:rsidRDefault="001E7A3B" w:rsidP="002E495D">
      <w:pPr>
        <w:pStyle w:val="Compact"/>
        <w:numPr>
          <w:ilvl w:val="0"/>
          <w:numId w:val="18"/>
        </w:numPr>
        <w:rPr>
          <w:color w:val="0070C0"/>
          <w:szCs w:val="20"/>
          <w:lang w:val="el-GR"/>
        </w:rPr>
      </w:pPr>
      <w:r w:rsidRPr="001E7A3B">
        <w:rPr>
          <w:szCs w:val="20"/>
          <w:lang w:val="el-GR"/>
        </w:rPr>
        <w:t>Πόσα άτομα έχουν καταταγεί για πρώτη φορά στον στρατό τα τελευταία χρόνια; Παρακαλείστε</w:t>
      </w:r>
      <w:r w:rsidRPr="001E7A3B">
        <w:rPr>
          <w:szCs w:val="20"/>
          <w:lang w:val="el-GR"/>
        </w:rPr>
        <w:t xml:space="preserve"> να αναλύσετε ανά ηλικία, φύλο και (κατά περίπτωση) αν πρόκειται για στρατεύσιμους ή εθελοντές.</w:t>
      </w:r>
      <w:r w:rsidR="002E495D" w:rsidRPr="001E7A3B">
        <w:rPr>
          <w:szCs w:val="20"/>
          <w:lang w:val="el-GR"/>
        </w:rPr>
        <w:t xml:space="preserve"> </w:t>
      </w:r>
      <w:r w:rsidR="002E495D" w:rsidRPr="001E7A3B">
        <w:rPr>
          <w:rFonts w:asciiTheme="minorHAnsi" w:hAnsiTheme="minorHAnsi"/>
          <w:color w:val="0070C0"/>
          <w:szCs w:val="20"/>
          <w:lang w:val="el-GR"/>
        </w:rPr>
        <w:t>- Το Γενικό Επιτελείο Εθνικής Άμυνας δεν μας κοινοποιεί τέτοια στατιστικά στοιχεία.</w:t>
      </w:r>
    </w:p>
    <w:p w:rsidR="00BF0FDC" w:rsidRPr="001E7A3B" w:rsidRDefault="001E7A3B">
      <w:pPr>
        <w:pStyle w:val="Compact"/>
        <w:numPr>
          <w:ilvl w:val="0"/>
          <w:numId w:val="19"/>
        </w:numPr>
        <w:rPr>
          <w:szCs w:val="20"/>
          <w:lang w:val="el-GR"/>
        </w:rPr>
      </w:pPr>
      <w:r w:rsidRPr="001E7A3B">
        <w:rPr>
          <w:szCs w:val="20"/>
          <w:lang w:val="el-GR"/>
        </w:rPr>
        <w:t>Τι ποσοστό εθελοντών οπλιτών συνεχίζουν πέραν της αρχικής υποχρέωσης για ίση ή μεγαλύτερη διάρκεια;</w:t>
      </w:r>
      <w:r w:rsidR="002E495D" w:rsidRPr="001E7A3B">
        <w:rPr>
          <w:szCs w:val="20"/>
          <w:lang w:val="el-GR"/>
        </w:rPr>
        <w:t xml:space="preserve"> </w:t>
      </w:r>
      <w:r w:rsidR="002E495D" w:rsidRPr="001E7A3B">
        <w:rPr>
          <w:rFonts w:asciiTheme="minorHAnsi" w:hAnsiTheme="minorHAnsi"/>
          <w:color w:val="0070C0"/>
          <w:szCs w:val="20"/>
          <w:lang w:val="el-GR"/>
        </w:rPr>
        <w:t>- Το Γενικό Επιτελείο Εθνικής Άμυνας δεν μας κοινοποιεί τέτοια στατιστικά στοιχεία.</w:t>
      </w:r>
    </w:p>
    <w:p w:rsidR="00BF0FDC" w:rsidRPr="001E7A3B" w:rsidRDefault="001E7A3B">
      <w:pPr>
        <w:pStyle w:val="Compact"/>
        <w:numPr>
          <w:ilvl w:val="0"/>
          <w:numId w:val="19"/>
        </w:numPr>
        <w:rPr>
          <w:szCs w:val="20"/>
          <w:lang w:val="el-GR"/>
        </w:rPr>
      </w:pPr>
      <w:r w:rsidRPr="001E7A3B">
        <w:rPr>
          <w:szCs w:val="20"/>
          <w:lang w:val="el-GR"/>
        </w:rPr>
        <w:t>Πόσα άτομα καλούνται για εφεδρική θητεία και ποια είναι η δι</w:t>
      </w:r>
      <w:r w:rsidRPr="001E7A3B">
        <w:rPr>
          <w:szCs w:val="20"/>
          <w:lang w:val="el-GR"/>
        </w:rPr>
        <w:t>άρκειά της;</w:t>
      </w:r>
      <w:r w:rsidR="002E495D" w:rsidRPr="001E7A3B">
        <w:rPr>
          <w:szCs w:val="20"/>
          <w:lang w:val="el-GR"/>
        </w:rPr>
        <w:t xml:space="preserve"> </w:t>
      </w:r>
      <w:r w:rsidR="002E495D" w:rsidRPr="001E7A3B">
        <w:rPr>
          <w:rFonts w:asciiTheme="minorHAnsi" w:hAnsiTheme="minorHAnsi"/>
          <w:color w:val="0070C0"/>
          <w:szCs w:val="20"/>
          <w:lang w:val="el-GR"/>
        </w:rPr>
        <w:t>- Το Γενικό Επιτελείο Εθνικής Άμυνας δεν μας κοινοποιεί τέτοια στατιστικά στοιχεία.</w:t>
      </w:r>
    </w:p>
    <w:p w:rsidR="00BF0FDC" w:rsidRPr="001E7A3B" w:rsidRDefault="001E7A3B">
      <w:pPr>
        <w:pStyle w:val="4"/>
        <w:rPr>
          <w:szCs w:val="20"/>
          <w:lang w:val="el-GR"/>
        </w:rPr>
      </w:pPr>
      <w:bookmarkStart w:id="6" w:name="Xd484f28809f4e6f0fb69ec4144147d93156a942"/>
      <w:bookmarkEnd w:id="5"/>
      <w:r w:rsidRPr="001E7A3B">
        <w:rPr>
          <w:szCs w:val="20"/>
          <w:lang w:val="el-GR"/>
        </w:rPr>
        <w:t>Γ. Διαδικασία υποβολής αιτήσεων για αναγνώριση ως αντιρρησίας συνείδησης</w:t>
      </w:r>
    </w:p>
    <w:p w:rsidR="00BF0FDC" w:rsidRPr="001E7A3B" w:rsidRDefault="001E7A3B">
      <w:pPr>
        <w:pStyle w:val="Compact"/>
        <w:numPr>
          <w:ilvl w:val="0"/>
          <w:numId w:val="20"/>
        </w:numPr>
        <w:rPr>
          <w:szCs w:val="20"/>
          <w:lang w:val="el-GR"/>
        </w:rPr>
      </w:pPr>
      <w:r w:rsidRPr="001E7A3B">
        <w:rPr>
          <w:szCs w:val="20"/>
          <w:lang w:val="el-GR"/>
        </w:rPr>
        <w:t xml:space="preserve">Κατά τα τελευταία έτη, πόσες αιτήσεις αναγνώρισης αντιρρησιών συνείδησης υποβλήθηκαν; Πόσες ήταν επιτυχείς κατά </w:t>
      </w:r>
      <w:r w:rsidRPr="001E7A3B">
        <w:rPr>
          <w:szCs w:val="20"/>
          <w:lang w:val="el-GR"/>
        </w:rPr>
        <w:t>την αρχική εξέταση; σε πόσες απορριπτικές αιτήσεις υπήρξαν προσφυγές και με τι αποτελέσματα;</w:t>
      </w:r>
      <w:r w:rsidR="002E495D" w:rsidRPr="001E7A3B">
        <w:rPr>
          <w:szCs w:val="20"/>
          <w:lang w:val="el-GR"/>
        </w:rPr>
        <w:t xml:space="preserve"> </w:t>
      </w:r>
      <w:r w:rsidR="002E495D" w:rsidRPr="001E7A3B">
        <w:rPr>
          <w:rFonts w:asciiTheme="minorHAnsi" w:hAnsiTheme="minorHAnsi"/>
          <w:color w:val="0070C0"/>
          <w:szCs w:val="20"/>
          <w:lang w:val="el-GR"/>
        </w:rPr>
        <w:t>- Το Γενικό Επιτελείο Εθνικής Άμυνας δεν μας κοινοποιεί τέτοια στατιστικά στοιχεία.</w:t>
      </w:r>
      <w:r w:rsidR="002E495D" w:rsidRPr="001E7A3B">
        <w:rPr>
          <w:rFonts w:asciiTheme="minorHAnsi" w:hAnsiTheme="minorHAnsi"/>
          <w:color w:val="0070C0"/>
          <w:szCs w:val="20"/>
          <w:lang w:val="el-GR"/>
        </w:rPr>
        <w:t xml:space="preserve"> Είναι, πάντως, γεγονός ότι κατά τα τελευταία 4 χρόνια δεν έχουν κατατεθεί στο Συνήγορο του Πολίτη αναφορές για το συγκεκριμένο θέμα.</w:t>
      </w:r>
    </w:p>
    <w:p w:rsidR="00BF0FDC" w:rsidRPr="001E7A3B" w:rsidRDefault="001E7A3B">
      <w:pPr>
        <w:pStyle w:val="Compact"/>
        <w:numPr>
          <w:ilvl w:val="0"/>
          <w:numId w:val="20"/>
        </w:numPr>
        <w:rPr>
          <w:color w:val="0070C0"/>
          <w:szCs w:val="20"/>
          <w:lang w:val="el-GR"/>
        </w:rPr>
      </w:pPr>
      <w:r w:rsidRPr="001E7A3B">
        <w:rPr>
          <w:szCs w:val="20"/>
          <w:lang w:val="el-GR"/>
        </w:rPr>
        <w:t>Μπορείτε να αναφέρετε τους λόγους απόρριψης ορισμένων ως άνω αιτήσεων;</w:t>
      </w:r>
      <w:r w:rsidR="002E495D" w:rsidRPr="001E7A3B">
        <w:rPr>
          <w:szCs w:val="20"/>
          <w:lang w:val="el-GR"/>
        </w:rPr>
        <w:t xml:space="preserve"> </w:t>
      </w:r>
      <w:r w:rsidR="002E495D" w:rsidRPr="001E7A3B">
        <w:rPr>
          <w:rFonts w:asciiTheme="minorHAnsi" w:hAnsiTheme="minorHAnsi"/>
          <w:color w:val="0070C0"/>
          <w:szCs w:val="20"/>
          <w:lang w:val="el-GR"/>
        </w:rPr>
        <w:t>- Με βάση την εμπειρία του Συνηγόρου του Πολίτη κατόπιν παλαιότερων σχετικών αναφορών, συνηθέστερος λόγος απόρριψης ήταν η αόριστη επισήμανση πως η αρμόδια επιτροπή δεν πείσθηκε για την ειλικρίνεια ή τη συνεκτικότητα των απόψεων τις οποίες προέβαλαν οι αιτούντες.</w:t>
      </w:r>
    </w:p>
    <w:p w:rsidR="00BF0FDC" w:rsidRPr="001E7A3B" w:rsidRDefault="001E7A3B">
      <w:pPr>
        <w:pStyle w:val="4"/>
        <w:rPr>
          <w:szCs w:val="20"/>
          <w:lang w:val="el-GR"/>
        </w:rPr>
      </w:pPr>
      <w:bookmarkStart w:id="7" w:name="X366bb9e6a6d1bcc5dcf8592dcdd427b28310518"/>
      <w:bookmarkEnd w:id="6"/>
      <w:r w:rsidRPr="001E7A3B">
        <w:rPr>
          <w:szCs w:val="20"/>
          <w:lang w:val="el-GR"/>
        </w:rPr>
        <w:lastRenderedPageBreak/>
        <w:t>Δ. Αντίρρηση συνείδησης κατά τη διάρκεια της στρατιωτικής θητείας</w:t>
      </w:r>
    </w:p>
    <w:p w:rsidR="00BF0FDC" w:rsidRPr="001E7A3B" w:rsidRDefault="001E7A3B">
      <w:pPr>
        <w:pStyle w:val="Compact"/>
        <w:numPr>
          <w:ilvl w:val="0"/>
          <w:numId w:val="21"/>
        </w:numPr>
        <w:rPr>
          <w:szCs w:val="20"/>
          <w:lang w:val="el-GR"/>
        </w:rPr>
      </w:pPr>
      <w:r w:rsidRPr="001E7A3B">
        <w:rPr>
          <w:szCs w:val="20"/>
          <w:lang w:val="el-GR"/>
        </w:rPr>
        <w:t>Έχουν καταγραφεί περιπτώσε</w:t>
      </w:r>
      <w:r w:rsidRPr="001E7A3B">
        <w:rPr>
          <w:szCs w:val="20"/>
          <w:lang w:val="el-GR"/>
        </w:rPr>
        <w:t>ις υπηρετούντων στις ένοπλες δυνάμεις που υπέβαλαν αίτηση αποστράτευσης έχοντας αναπτύξει αντιρρήσεις συνείδησης τα τελευταία χρόνια; Παρακαλούμε να δώσετε λεπτομέρειες σχετικά με τον αριθμό των αιτημάτων καθώς και όσων έγιναν αποδεκτά.</w:t>
      </w:r>
      <w:r w:rsidR="002E495D" w:rsidRPr="001E7A3B">
        <w:rPr>
          <w:szCs w:val="20"/>
          <w:lang w:val="el-GR"/>
        </w:rPr>
        <w:t xml:space="preserve"> </w:t>
      </w:r>
      <w:r w:rsidR="002E495D" w:rsidRPr="001E7A3B">
        <w:rPr>
          <w:rFonts w:asciiTheme="minorHAnsi" w:hAnsiTheme="minorHAnsi"/>
          <w:color w:val="0070C0"/>
          <w:szCs w:val="20"/>
          <w:lang w:val="el-GR"/>
        </w:rPr>
        <w:t>- Το Γενικό Επιτελείο Εθνικής Άμυνας δεν μας κοινοποιεί τέτοια στατιστικ</w:t>
      </w:r>
      <w:bookmarkStart w:id="8" w:name="_GoBack"/>
      <w:bookmarkEnd w:id="8"/>
      <w:r w:rsidR="002E495D" w:rsidRPr="001E7A3B">
        <w:rPr>
          <w:rFonts w:asciiTheme="minorHAnsi" w:hAnsiTheme="minorHAnsi"/>
          <w:color w:val="0070C0"/>
          <w:szCs w:val="20"/>
          <w:lang w:val="el-GR"/>
        </w:rPr>
        <w:t>ά στοιχεία.</w:t>
      </w:r>
    </w:p>
    <w:p w:rsidR="00BF0FDC" w:rsidRPr="001E7A3B" w:rsidRDefault="001E7A3B">
      <w:pPr>
        <w:pStyle w:val="Compact"/>
        <w:numPr>
          <w:ilvl w:val="0"/>
          <w:numId w:val="21"/>
        </w:numPr>
        <w:rPr>
          <w:szCs w:val="20"/>
          <w:lang w:val="el-GR"/>
        </w:rPr>
      </w:pPr>
      <w:r w:rsidRPr="001E7A3B">
        <w:rPr>
          <w:szCs w:val="20"/>
          <w:lang w:val="el-GR"/>
        </w:rPr>
        <w:t>Παρακαλούμε δώστε λ</w:t>
      </w:r>
      <w:r w:rsidRPr="001E7A3B">
        <w:rPr>
          <w:szCs w:val="20"/>
          <w:lang w:val="el-GR"/>
        </w:rPr>
        <w:t>επτομέρειες για τους λόγους απόρριψης των αιτημάτων τα οποία δεν έγιναν αποδεκτά.</w:t>
      </w:r>
      <w:r w:rsidR="002E495D" w:rsidRPr="001E7A3B">
        <w:rPr>
          <w:szCs w:val="20"/>
          <w:lang w:val="el-GR"/>
        </w:rPr>
        <w:t xml:space="preserve"> </w:t>
      </w:r>
      <w:r w:rsidR="002E495D" w:rsidRPr="001E7A3B">
        <w:rPr>
          <w:rFonts w:asciiTheme="minorHAnsi" w:hAnsiTheme="minorHAnsi"/>
          <w:color w:val="0070C0"/>
          <w:szCs w:val="20"/>
          <w:lang w:val="el-GR"/>
        </w:rPr>
        <w:t>- Το Γενικό Επιτελείο Εθνικής Άμυνας δεν μας κοινοποιεί τέτοια στοιχεία.</w:t>
      </w:r>
    </w:p>
    <w:p w:rsidR="00BF0FDC" w:rsidRPr="001E7A3B" w:rsidRDefault="001E7A3B">
      <w:pPr>
        <w:pStyle w:val="Compact"/>
        <w:numPr>
          <w:ilvl w:val="0"/>
          <w:numId w:val="21"/>
        </w:numPr>
        <w:rPr>
          <w:szCs w:val="20"/>
          <w:lang w:val="el-GR"/>
        </w:rPr>
      </w:pPr>
      <w:r w:rsidRPr="001E7A3B">
        <w:rPr>
          <w:szCs w:val="20"/>
          <w:lang w:val="el-GR"/>
        </w:rPr>
        <w:t xml:space="preserve">Σε πόσα άτομα ασκήθηκε δίωξη για λιποταξία; Υπήρχαν μεταξύ αυτών άτομα που είχαν δηλώσει αντιρρησίες συνείδησης; Ποια ήταν τα αποτελέσματα των διώξεων αυτών και ποιες ποινές </w:t>
      </w:r>
      <w:r w:rsidRPr="001E7A3B">
        <w:rPr>
          <w:szCs w:val="20"/>
          <w:lang w:val="el-GR"/>
        </w:rPr>
        <w:t>επιβλήθηκαν;</w:t>
      </w:r>
      <w:r w:rsidR="002E495D" w:rsidRPr="001E7A3B">
        <w:rPr>
          <w:szCs w:val="20"/>
          <w:lang w:val="el-GR"/>
        </w:rPr>
        <w:t xml:space="preserve"> </w:t>
      </w:r>
      <w:r w:rsidR="002E495D" w:rsidRPr="001E7A3B">
        <w:rPr>
          <w:rFonts w:asciiTheme="minorHAnsi" w:hAnsiTheme="minorHAnsi"/>
          <w:color w:val="0070C0"/>
          <w:szCs w:val="20"/>
          <w:lang w:val="el-GR"/>
        </w:rPr>
        <w:t>- Το Γενικό Επιτελείο Εθνικής Άμυνας δεν μας κοινοποιεί τέτοια στοιχεία.</w:t>
      </w:r>
    </w:p>
    <w:p w:rsidR="00BF0FDC" w:rsidRPr="001E7A3B" w:rsidRDefault="001E7A3B">
      <w:pPr>
        <w:pStyle w:val="4"/>
        <w:rPr>
          <w:szCs w:val="20"/>
          <w:lang w:val="el-GR"/>
        </w:rPr>
      </w:pPr>
      <w:bookmarkStart w:id="9" w:name="X8c81692438f9b6863655162c1f688d41c0e9256"/>
      <w:bookmarkEnd w:id="7"/>
      <w:r w:rsidRPr="001E7A3B">
        <w:rPr>
          <w:szCs w:val="20"/>
          <w:lang w:val="el-GR"/>
        </w:rPr>
        <w:t>Ε. Αντίρρηση συνείδησης μετά τη στρατιωτική θητεία</w:t>
      </w:r>
    </w:p>
    <w:p w:rsidR="00BF0FDC" w:rsidRPr="001E7A3B" w:rsidRDefault="001E7A3B">
      <w:pPr>
        <w:pStyle w:val="Compact"/>
        <w:numPr>
          <w:ilvl w:val="0"/>
          <w:numId w:val="22"/>
        </w:numPr>
        <w:rPr>
          <w:szCs w:val="20"/>
          <w:lang w:val="el-GR"/>
        </w:rPr>
      </w:pPr>
      <w:r w:rsidRPr="001E7A3B">
        <w:rPr>
          <w:szCs w:val="20"/>
          <w:lang w:val="el-GR"/>
        </w:rPr>
        <w:t>Υπάρχουν τα τελευταία χρόνια υπόχρεοι εφεδρικής θητείας που έχουν αρνηθεί να την εκπληρώσουν για λόγους συνείδησης; Ποια ήταν τα αποτελέσματα;</w:t>
      </w:r>
      <w:r w:rsidR="002E495D" w:rsidRPr="001E7A3B">
        <w:rPr>
          <w:szCs w:val="20"/>
          <w:lang w:val="el-GR"/>
        </w:rPr>
        <w:t xml:space="preserve"> </w:t>
      </w:r>
      <w:r w:rsidR="002E495D" w:rsidRPr="001E7A3B">
        <w:rPr>
          <w:rFonts w:asciiTheme="minorHAnsi" w:hAnsiTheme="minorHAnsi"/>
          <w:color w:val="0070C0"/>
          <w:szCs w:val="20"/>
          <w:lang w:val="el-GR"/>
        </w:rPr>
        <w:t>- Το Γενικό Επιτελείο Εθνικής Άμυνας δεν μας κοινοποιεί τέτοια στατιστικά στοιχεία.</w:t>
      </w:r>
    </w:p>
    <w:p w:rsidR="00BF0FDC" w:rsidRPr="001E7A3B" w:rsidRDefault="001E7A3B">
      <w:pPr>
        <w:pStyle w:val="4"/>
        <w:rPr>
          <w:szCs w:val="20"/>
        </w:rPr>
      </w:pPr>
      <w:bookmarkStart w:id="10" w:name="στ.-άσυλο-για-αντιρρησίες-συνείδησης"/>
      <w:bookmarkEnd w:id="9"/>
      <w:r w:rsidRPr="001E7A3B">
        <w:rPr>
          <w:szCs w:val="20"/>
        </w:rPr>
        <w:t>ΣΤ. Άσυλο για αντιρρησίες συνείδησης</w:t>
      </w:r>
    </w:p>
    <w:p w:rsidR="00BF0FDC" w:rsidRPr="001E7A3B" w:rsidRDefault="001E7A3B">
      <w:pPr>
        <w:pStyle w:val="Compact"/>
        <w:numPr>
          <w:ilvl w:val="0"/>
          <w:numId w:val="23"/>
        </w:numPr>
        <w:rPr>
          <w:color w:val="0070C0"/>
          <w:szCs w:val="20"/>
          <w:lang w:val="el-GR"/>
        </w:rPr>
      </w:pPr>
      <w:r w:rsidRPr="001E7A3B">
        <w:rPr>
          <w:szCs w:val="20"/>
          <w:lang w:val="el-GR"/>
        </w:rPr>
        <w:t>Θα μπορούσατ</w:t>
      </w:r>
      <w:r w:rsidRPr="001E7A3B">
        <w:rPr>
          <w:szCs w:val="20"/>
          <w:lang w:val="el-GR"/>
        </w:rPr>
        <w:t>ε να λάβετε στατιστικά στοιχεία σχετικά με τις εγκρίσεις/ απορρίψεις σε αιτήματα ασύλου στη χώρα σας όπου γίνεται λόγος για αντίρρηση συνείδησης;</w:t>
      </w:r>
      <w:r w:rsidR="008C7F4D" w:rsidRPr="001E7A3B">
        <w:rPr>
          <w:szCs w:val="20"/>
          <w:lang w:val="el-GR"/>
        </w:rPr>
        <w:t xml:space="preserve"> </w:t>
      </w:r>
      <w:r w:rsidR="008C7F4D" w:rsidRPr="001E7A3B">
        <w:rPr>
          <w:rFonts w:asciiTheme="minorHAnsi" w:hAnsiTheme="minorHAnsi"/>
          <w:color w:val="0070C0"/>
          <w:szCs w:val="20"/>
          <w:lang w:val="el-GR"/>
        </w:rPr>
        <w:t>- Δεν</w:t>
      </w:r>
      <w:r w:rsidR="00161F9B" w:rsidRPr="001E7A3B">
        <w:rPr>
          <w:rFonts w:asciiTheme="minorHAnsi" w:hAnsiTheme="minorHAnsi"/>
          <w:color w:val="0070C0"/>
          <w:szCs w:val="20"/>
          <w:lang w:val="el-GR"/>
        </w:rPr>
        <w:t xml:space="preserve"> διαθέτουμε </w:t>
      </w:r>
      <w:r w:rsidR="00ED3F76" w:rsidRPr="001E7A3B">
        <w:rPr>
          <w:rFonts w:asciiTheme="minorHAnsi" w:hAnsiTheme="minorHAnsi"/>
          <w:color w:val="0070C0"/>
          <w:szCs w:val="20"/>
          <w:lang w:val="el-GR"/>
        </w:rPr>
        <w:t xml:space="preserve">ούτε έχουμε καν ζητήσει </w:t>
      </w:r>
      <w:r w:rsidR="00161F9B" w:rsidRPr="001E7A3B">
        <w:rPr>
          <w:rFonts w:asciiTheme="minorHAnsi" w:hAnsiTheme="minorHAnsi"/>
          <w:color w:val="0070C0"/>
          <w:szCs w:val="20"/>
          <w:lang w:val="el-GR"/>
        </w:rPr>
        <w:t>τέτοια στοιχεία, καθώς οι παρεμβάσεις του Συνηγόρου του Πολίτη για θέματα ασύλου περιορίζ</w:t>
      </w:r>
      <w:r w:rsidR="006E7C85" w:rsidRPr="001E7A3B">
        <w:rPr>
          <w:rFonts w:asciiTheme="minorHAnsi" w:hAnsiTheme="minorHAnsi"/>
          <w:color w:val="0070C0"/>
          <w:szCs w:val="20"/>
          <w:lang w:val="el-GR"/>
        </w:rPr>
        <w:t>ον</w:t>
      </w:r>
      <w:r w:rsidR="00161F9B" w:rsidRPr="001E7A3B">
        <w:rPr>
          <w:rFonts w:asciiTheme="minorHAnsi" w:hAnsiTheme="minorHAnsi"/>
          <w:color w:val="0070C0"/>
          <w:szCs w:val="20"/>
          <w:lang w:val="el-GR"/>
        </w:rPr>
        <w:t>ται σε έλεγχο της διαδικασίας και δεν επεκτείν</w:t>
      </w:r>
      <w:r w:rsidR="00ED3F76" w:rsidRPr="001E7A3B">
        <w:rPr>
          <w:rFonts w:asciiTheme="minorHAnsi" w:hAnsiTheme="minorHAnsi"/>
          <w:color w:val="0070C0"/>
          <w:szCs w:val="20"/>
          <w:lang w:val="el-GR"/>
        </w:rPr>
        <w:t>ον</w:t>
      </w:r>
      <w:r w:rsidR="00161F9B" w:rsidRPr="001E7A3B">
        <w:rPr>
          <w:rFonts w:asciiTheme="minorHAnsi" w:hAnsiTheme="minorHAnsi"/>
          <w:color w:val="0070C0"/>
          <w:szCs w:val="20"/>
          <w:lang w:val="el-GR"/>
        </w:rPr>
        <w:t xml:space="preserve">ται στην ουσία των λόγων τους οποίους επικαλούνται οι αιτούντες. Πληροφόρηση για το συγκεκριμένο θέμα μπορεί να ζητηθεί από την Υπηρεσία Ασύλου </w:t>
      </w:r>
      <w:hyperlink r:id="rId9" w:history="1">
        <w:r w:rsidR="00ED3F76" w:rsidRPr="001E7A3B">
          <w:rPr>
            <w:rStyle w:val="-"/>
            <w:rFonts w:asciiTheme="minorHAnsi" w:hAnsiTheme="minorHAnsi"/>
            <w:szCs w:val="20"/>
            <w:u w:val="single"/>
            <w:lang w:val="el-GR"/>
          </w:rPr>
          <w:t>https://migration.gov.gr/gas/</w:t>
        </w:r>
      </w:hyperlink>
      <w:r w:rsidR="00ED3F76" w:rsidRPr="001E7A3B">
        <w:rPr>
          <w:rFonts w:asciiTheme="minorHAnsi" w:hAnsiTheme="minorHAnsi"/>
          <w:color w:val="0070C0"/>
          <w:szCs w:val="20"/>
          <w:lang w:val="el-GR"/>
        </w:rPr>
        <w:t xml:space="preserve"> </w:t>
      </w:r>
      <w:r w:rsidR="00161F9B" w:rsidRPr="001E7A3B">
        <w:rPr>
          <w:rFonts w:asciiTheme="minorHAnsi" w:hAnsiTheme="minorHAnsi"/>
          <w:color w:val="0070C0"/>
          <w:szCs w:val="20"/>
          <w:lang w:val="el-GR"/>
        </w:rPr>
        <w:t>και την Αρχή Προσφυγών</w:t>
      </w:r>
      <w:r w:rsidR="00ED3F76" w:rsidRPr="001E7A3B">
        <w:rPr>
          <w:rFonts w:asciiTheme="minorHAnsi" w:hAnsiTheme="minorHAnsi"/>
          <w:color w:val="0070C0"/>
          <w:szCs w:val="20"/>
          <w:lang w:val="el-GR"/>
        </w:rPr>
        <w:t xml:space="preserve"> </w:t>
      </w:r>
      <w:hyperlink r:id="rId10" w:history="1">
        <w:r w:rsidR="00ED3F76" w:rsidRPr="001E7A3B">
          <w:rPr>
            <w:rStyle w:val="-"/>
            <w:rFonts w:asciiTheme="minorHAnsi" w:hAnsiTheme="minorHAnsi"/>
            <w:szCs w:val="20"/>
            <w:u w:val="single"/>
            <w:lang w:val="el-GR"/>
          </w:rPr>
          <w:t>https://migration.gov.gr/appeals/</w:t>
        </w:r>
      </w:hyperlink>
      <w:r w:rsidR="00ED3F76" w:rsidRPr="001E7A3B">
        <w:rPr>
          <w:rFonts w:asciiTheme="minorHAnsi" w:hAnsiTheme="minorHAnsi"/>
          <w:color w:val="0070C0"/>
          <w:szCs w:val="20"/>
          <w:lang w:val="el-GR"/>
        </w:rPr>
        <w:t xml:space="preserve">  .</w:t>
      </w:r>
      <w:bookmarkEnd w:id="0"/>
      <w:bookmarkEnd w:id="2"/>
      <w:bookmarkEnd w:id="10"/>
    </w:p>
    <w:sectPr w:rsidR="00BF0FDC" w:rsidRPr="001E7A3B">
      <w:pgSz w:w="12240" w:h="15840"/>
      <w:pgMar w:top="1136" w:right="1136" w:bottom="1136" w:left="1136" w:header="0" w:footer="0" w:gutter="0"/>
      <w:cols w:space="720"/>
      <w:formProt w:val="0"/>
      <w:docGrid w:linePitch="10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1"/>
    <w:family w:val="swiss"/>
    <w:pitch w:val="default"/>
  </w:font>
  <w:font w:name="Noto Sans">
    <w:charset w:val="00"/>
    <w:family w:val="swiss"/>
    <w:pitch w:val="variable"/>
    <w:sig w:usb0="E00002FF" w:usb1="4000001F" w:usb2="08000029" w:usb3="00000000" w:csb0="00000001" w:csb1="00000000"/>
  </w:font>
  <w:font w:name="Aptos Display">
    <w:altName w:val="Calibri"/>
    <w:charset w:val="01"/>
    <w:family w:val="swiss"/>
    <w:pitch w:val="default"/>
  </w:font>
  <w:font w:name="Times New Roman">
    <w:panose1 w:val="02020603050405020304"/>
    <w:charset w:val="A1"/>
    <w:family w:val="roman"/>
    <w:pitch w:val="variable"/>
    <w:sig w:usb0="E0002EFF" w:usb1="C000785B" w:usb2="00000009" w:usb3="00000000" w:csb0="000001FF" w:csb1="00000000"/>
  </w:font>
  <w:font w:name="Consolas">
    <w:panose1 w:val="020B0609020204030204"/>
    <w:charset w:val="A1"/>
    <w:family w:val="modern"/>
    <w:pitch w:val="fixed"/>
    <w:sig w:usb0="E00006FF" w:usb1="0000FCFF" w:usb2="00000001" w:usb3="00000000" w:csb0="0000019F" w:csb1="00000000"/>
  </w:font>
  <w:font w:name="Noto Serif">
    <w:charset w:val="00"/>
    <w:family w:val="roman"/>
    <w:pitch w:val="variable"/>
    <w:sig w:usb0="E00002FF" w:usb1="4000001F" w:usb2="08000029" w:usb3="00000000" w:csb0="00000001" w:csb1="00000000"/>
  </w:font>
  <w:font w:name="Noto Sans CJK SC">
    <w:panose1 w:val="00000000000000000000"/>
    <w:charset w:val="00"/>
    <w:family w:val="roman"/>
    <w:notTrueType/>
    <w:pitch w:val="default"/>
  </w:font>
  <w:font w:name="Noto Sans Devanagari">
    <w:panose1 w:val="00000000000000000000"/>
    <w:charset w:val="00"/>
    <w:family w:val="roman"/>
    <w:notTrueType/>
    <w:pitch w:val="default"/>
  </w:font>
  <w:font w:name="Noto Serif CJK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A990"/>
    <w:multiLevelType w:val="multilevel"/>
    <w:tmpl w:val="66B2135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A99201"/>
    <w:multiLevelType w:val="multilevel"/>
    <w:tmpl w:val="DA06BD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00A99204"/>
    <w:multiLevelType w:val="multilevel"/>
    <w:tmpl w:val="D700984A"/>
    <w:lvl w:ilvl="0">
      <w:start w:val="4"/>
      <w:numFmt w:val="decimal"/>
      <w:lvlText w:val="%1."/>
      <w:lvlJc w:val="left"/>
      <w:pPr>
        <w:ind w:left="720" w:hanging="360"/>
      </w:pPr>
    </w:lvl>
    <w:lvl w:ilvl="1">
      <w:start w:val="4"/>
      <w:numFmt w:val="lowerLetter"/>
      <w:lvlText w:val="%2."/>
      <w:lvlJc w:val="left"/>
      <w:pPr>
        <w:ind w:left="1440" w:hanging="360"/>
      </w:pPr>
    </w:lvl>
    <w:lvl w:ilvl="2">
      <w:start w:val="4"/>
      <w:numFmt w:val="lowerRoman"/>
      <w:lvlText w:val="%3."/>
      <w:lvlJc w:val="left"/>
      <w:pPr>
        <w:ind w:left="2160" w:hanging="360"/>
      </w:pPr>
    </w:lvl>
    <w:lvl w:ilvl="3">
      <w:start w:val="4"/>
      <w:numFmt w:val="decimal"/>
      <w:lvlText w:val="%4."/>
      <w:lvlJc w:val="left"/>
      <w:pPr>
        <w:ind w:left="2880" w:hanging="360"/>
      </w:pPr>
    </w:lvl>
    <w:lvl w:ilvl="4">
      <w:start w:val="4"/>
      <w:numFmt w:val="lowerLetter"/>
      <w:lvlText w:val="%5."/>
      <w:lvlJc w:val="left"/>
      <w:pPr>
        <w:ind w:left="3600" w:hanging="360"/>
      </w:pPr>
    </w:lvl>
    <w:lvl w:ilvl="5">
      <w:start w:val="4"/>
      <w:numFmt w:val="lowerRoman"/>
      <w:lvlText w:val="%6."/>
      <w:lvlJc w:val="left"/>
      <w:pPr>
        <w:ind w:left="4320" w:hanging="360"/>
      </w:pPr>
    </w:lvl>
    <w:lvl w:ilvl="6">
      <w:start w:val="4"/>
      <w:numFmt w:val="decimal"/>
      <w:lvlText w:val="%7."/>
      <w:lvlJc w:val="left"/>
      <w:pPr>
        <w:ind w:left="5040" w:hanging="360"/>
      </w:pPr>
    </w:lvl>
    <w:lvl w:ilvl="7">
      <w:start w:val="4"/>
      <w:numFmt w:val="lowerLetter"/>
      <w:lvlText w:val="%8."/>
      <w:lvlJc w:val="left"/>
      <w:pPr>
        <w:ind w:left="5760" w:hanging="360"/>
      </w:pPr>
    </w:lvl>
    <w:lvl w:ilvl="8">
      <w:start w:val="4"/>
      <w:numFmt w:val="lowerRoman"/>
      <w:lvlText w:val="%9."/>
      <w:lvlJc w:val="left"/>
      <w:pPr>
        <w:ind w:left="6480" w:hanging="360"/>
      </w:pPr>
    </w:lvl>
  </w:abstractNum>
  <w:abstractNum w:abstractNumId="3" w15:restartNumberingAfterBreak="0">
    <w:nsid w:val="00A99205"/>
    <w:multiLevelType w:val="multilevel"/>
    <w:tmpl w:val="BBFA0D92"/>
    <w:lvl w:ilvl="0">
      <w:start w:val="5"/>
      <w:numFmt w:val="decimal"/>
      <w:lvlText w:val="%1."/>
      <w:lvlJc w:val="left"/>
      <w:pPr>
        <w:ind w:left="720" w:hanging="360"/>
      </w:pPr>
    </w:lvl>
    <w:lvl w:ilvl="1">
      <w:start w:val="5"/>
      <w:numFmt w:val="lowerLetter"/>
      <w:lvlText w:val="%2."/>
      <w:lvlJc w:val="left"/>
      <w:pPr>
        <w:ind w:left="1440" w:hanging="360"/>
      </w:pPr>
    </w:lvl>
    <w:lvl w:ilvl="2">
      <w:start w:val="5"/>
      <w:numFmt w:val="lowerRoman"/>
      <w:lvlText w:val="%3."/>
      <w:lvlJc w:val="left"/>
      <w:pPr>
        <w:ind w:left="2160" w:hanging="360"/>
      </w:pPr>
    </w:lvl>
    <w:lvl w:ilvl="3">
      <w:start w:val="5"/>
      <w:numFmt w:val="decimal"/>
      <w:lvlText w:val="%4."/>
      <w:lvlJc w:val="left"/>
      <w:pPr>
        <w:ind w:left="2880" w:hanging="360"/>
      </w:pPr>
    </w:lvl>
    <w:lvl w:ilvl="4">
      <w:start w:val="5"/>
      <w:numFmt w:val="lowerLetter"/>
      <w:lvlText w:val="%5."/>
      <w:lvlJc w:val="left"/>
      <w:pPr>
        <w:ind w:left="3600" w:hanging="360"/>
      </w:pPr>
    </w:lvl>
    <w:lvl w:ilvl="5">
      <w:start w:val="5"/>
      <w:numFmt w:val="lowerRoman"/>
      <w:lvlText w:val="%6."/>
      <w:lvlJc w:val="left"/>
      <w:pPr>
        <w:ind w:left="4320" w:hanging="360"/>
      </w:pPr>
    </w:lvl>
    <w:lvl w:ilvl="6">
      <w:start w:val="5"/>
      <w:numFmt w:val="decimal"/>
      <w:lvlText w:val="%7."/>
      <w:lvlJc w:val="left"/>
      <w:pPr>
        <w:ind w:left="5040" w:hanging="360"/>
      </w:pPr>
    </w:lvl>
    <w:lvl w:ilvl="7">
      <w:start w:val="5"/>
      <w:numFmt w:val="lowerLetter"/>
      <w:lvlText w:val="%8."/>
      <w:lvlJc w:val="left"/>
      <w:pPr>
        <w:ind w:left="5760" w:hanging="360"/>
      </w:pPr>
    </w:lvl>
    <w:lvl w:ilvl="8">
      <w:start w:val="5"/>
      <w:numFmt w:val="lowerRoman"/>
      <w:lvlText w:val="%9."/>
      <w:lvlJc w:val="left"/>
      <w:pPr>
        <w:ind w:left="6480" w:hanging="360"/>
      </w:pPr>
    </w:lvl>
  </w:abstractNum>
  <w:abstractNum w:abstractNumId="4" w15:restartNumberingAfterBreak="0">
    <w:nsid w:val="00A99208"/>
    <w:multiLevelType w:val="multilevel"/>
    <w:tmpl w:val="E5405B1A"/>
    <w:lvl w:ilvl="0">
      <w:start w:val="8"/>
      <w:numFmt w:val="decimal"/>
      <w:lvlText w:val="%1."/>
      <w:lvlJc w:val="left"/>
      <w:pPr>
        <w:ind w:left="720" w:hanging="360"/>
      </w:pPr>
    </w:lvl>
    <w:lvl w:ilvl="1">
      <w:start w:val="8"/>
      <w:numFmt w:val="lowerLetter"/>
      <w:lvlText w:val="%2."/>
      <w:lvlJc w:val="left"/>
      <w:pPr>
        <w:ind w:left="1440" w:hanging="360"/>
      </w:pPr>
    </w:lvl>
    <w:lvl w:ilvl="2">
      <w:start w:val="8"/>
      <w:numFmt w:val="lowerRoman"/>
      <w:lvlText w:val="%3."/>
      <w:lvlJc w:val="left"/>
      <w:pPr>
        <w:ind w:left="2160" w:hanging="360"/>
      </w:pPr>
    </w:lvl>
    <w:lvl w:ilvl="3">
      <w:start w:val="8"/>
      <w:numFmt w:val="decimal"/>
      <w:lvlText w:val="%4."/>
      <w:lvlJc w:val="left"/>
      <w:pPr>
        <w:ind w:left="2880" w:hanging="360"/>
      </w:pPr>
    </w:lvl>
    <w:lvl w:ilvl="4">
      <w:start w:val="8"/>
      <w:numFmt w:val="lowerLetter"/>
      <w:lvlText w:val="%5."/>
      <w:lvlJc w:val="left"/>
      <w:pPr>
        <w:ind w:left="3600" w:hanging="360"/>
      </w:pPr>
    </w:lvl>
    <w:lvl w:ilvl="5">
      <w:start w:val="8"/>
      <w:numFmt w:val="lowerRoman"/>
      <w:lvlText w:val="%6."/>
      <w:lvlJc w:val="left"/>
      <w:pPr>
        <w:ind w:left="4320" w:hanging="360"/>
      </w:pPr>
    </w:lvl>
    <w:lvl w:ilvl="6">
      <w:start w:val="8"/>
      <w:numFmt w:val="decimal"/>
      <w:lvlText w:val="%7."/>
      <w:lvlJc w:val="left"/>
      <w:pPr>
        <w:ind w:left="5040" w:hanging="360"/>
      </w:pPr>
    </w:lvl>
    <w:lvl w:ilvl="7">
      <w:start w:val="8"/>
      <w:numFmt w:val="lowerLetter"/>
      <w:lvlText w:val="%8."/>
      <w:lvlJc w:val="left"/>
      <w:pPr>
        <w:ind w:left="5760" w:hanging="360"/>
      </w:pPr>
    </w:lvl>
    <w:lvl w:ilvl="8">
      <w:start w:val="8"/>
      <w:numFmt w:val="lowerRoman"/>
      <w:lvlText w:val="%9."/>
      <w:lvlJc w:val="left"/>
      <w:pPr>
        <w:ind w:left="6480" w:hanging="360"/>
      </w:pPr>
    </w:lvl>
  </w:abstractNum>
  <w:abstractNum w:abstractNumId="5" w15:restartNumberingAfterBreak="0">
    <w:nsid w:val="0A992010"/>
    <w:multiLevelType w:val="multilevel"/>
    <w:tmpl w:val="81C6E618"/>
    <w:lvl w:ilvl="0">
      <w:start w:val="10"/>
      <w:numFmt w:val="decimal"/>
      <w:lvlText w:val="%1."/>
      <w:lvlJc w:val="left"/>
      <w:pPr>
        <w:ind w:left="720" w:hanging="360"/>
      </w:pPr>
    </w:lvl>
    <w:lvl w:ilvl="1">
      <w:start w:val="10"/>
      <w:numFmt w:val="lowerLetter"/>
      <w:lvlText w:val="%2."/>
      <w:lvlJc w:val="left"/>
      <w:pPr>
        <w:ind w:left="1440" w:hanging="360"/>
      </w:pPr>
    </w:lvl>
    <w:lvl w:ilvl="2">
      <w:start w:val="10"/>
      <w:numFmt w:val="lowerRoman"/>
      <w:lvlText w:val="%3."/>
      <w:lvlJc w:val="left"/>
      <w:pPr>
        <w:ind w:left="2160" w:hanging="360"/>
      </w:pPr>
    </w:lvl>
    <w:lvl w:ilvl="3">
      <w:start w:val="10"/>
      <w:numFmt w:val="decimal"/>
      <w:lvlText w:val="%4."/>
      <w:lvlJc w:val="left"/>
      <w:pPr>
        <w:ind w:left="2880" w:hanging="360"/>
      </w:pPr>
    </w:lvl>
    <w:lvl w:ilvl="4">
      <w:start w:val="10"/>
      <w:numFmt w:val="lowerLetter"/>
      <w:lvlText w:val="%5."/>
      <w:lvlJc w:val="left"/>
      <w:pPr>
        <w:ind w:left="3600" w:hanging="360"/>
      </w:pPr>
    </w:lvl>
    <w:lvl w:ilvl="5">
      <w:start w:val="10"/>
      <w:numFmt w:val="lowerRoman"/>
      <w:lvlText w:val="%6."/>
      <w:lvlJc w:val="left"/>
      <w:pPr>
        <w:ind w:left="4320" w:hanging="360"/>
      </w:pPr>
    </w:lvl>
    <w:lvl w:ilvl="6">
      <w:start w:val="10"/>
      <w:numFmt w:val="decimal"/>
      <w:lvlText w:val="%7."/>
      <w:lvlJc w:val="left"/>
      <w:pPr>
        <w:ind w:left="5040" w:hanging="360"/>
      </w:pPr>
    </w:lvl>
    <w:lvl w:ilvl="7">
      <w:start w:val="10"/>
      <w:numFmt w:val="lowerLetter"/>
      <w:lvlText w:val="%8."/>
      <w:lvlJc w:val="left"/>
      <w:pPr>
        <w:ind w:left="5760" w:hanging="360"/>
      </w:pPr>
    </w:lvl>
    <w:lvl w:ilvl="8">
      <w:start w:val="10"/>
      <w:numFmt w:val="lowerRoman"/>
      <w:lvlText w:val="%9."/>
      <w:lvlJc w:val="left"/>
      <w:pPr>
        <w:ind w:left="6480" w:hanging="360"/>
      </w:pPr>
    </w:lvl>
  </w:abstractNum>
  <w:abstractNum w:abstractNumId="6" w15:restartNumberingAfterBreak="0">
    <w:nsid w:val="0A992013"/>
    <w:multiLevelType w:val="multilevel"/>
    <w:tmpl w:val="A940A8A2"/>
    <w:lvl w:ilvl="0">
      <w:start w:val="13"/>
      <w:numFmt w:val="decimal"/>
      <w:lvlText w:val="%1."/>
      <w:lvlJc w:val="left"/>
      <w:pPr>
        <w:ind w:left="720" w:hanging="360"/>
      </w:pPr>
    </w:lvl>
    <w:lvl w:ilvl="1">
      <w:start w:val="13"/>
      <w:numFmt w:val="lowerLetter"/>
      <w:lvlText w:val="%2."/>
      <w:lvlJc w:val="left"/>
      <w:pPr>
        <w:ind w:left="1440" w:hanging="360"/>
      </w:pPr>
    </w:lvl>
    <w:lvl w:ilvl="2">
      <w:start w:val="13"/>
      <w:numFmt w:val="lowerRoman"/>
      <w:lvlText w:val="%3."/>
      <w:lvlJc w:val="left"/>
      <w:pPr>
        <w:ind w:left="2160" w:hanging="360"/>
      </w:pPr>
    </w:lvl>
    <w:lvl w:ilvl="3">
      <w:start w:val="13"/>
      <w:numFmt w:val="decimal"/>
      <w:lvlText w:val="%4."/>
      <w:lvlJc w:val="left"/>
      <w:pPr>
        <w:ind w:left="2880" w:hanging="360"/>
      </w:pPr>
    </w:lvl>
    <w:lvl w:ilvl="4">
      <w:start w:val="13"/>
      <w:numFmt w:val="lowerLetter"/>
      <w:lvlText w:val="%5."/>
      <w:lvlJc w:val="left"/>
      <w:pPr>
        <w:ind w:left="3600" w:hanging="360"/>
      </w:pPr>
    </w:lvl>
    <w:lvl w:ilvl="5">
      <w:start w:val="13"/>
      <w:numFmt w:val="lowerRoman"/>
      <w:lvlText w:val="%6."/>
      <w:lvlJc w:val="left"/>
      <w:pPr>
        <w:ind w:left="4320" w:hanging="360"/>
      </w:pPr>
    </w:lvl>
    <w:lvl w:ilvl="6">
      <w:start w:val="13"/>
      <w:numFmt w:val="decimal"/>
      <w:lvlText w:val="%7."/>
      <w:lvlJc w:val="left"/>
      <w:pPr>
        <w:ind w:left="5040" w:hanging="360"/>
      </w:pPr>
    </w:lvl>
    <w:lvl w:ilvl="7">
      <w:start w:val="13"/>
      <w:numFmt w:val="lowerLetter"/>
      <w:lvlText w:val="%8."/>
      <w:lvlJc w:val="left"/>
      <w:pPr>
        <w:ind w:left="5760" w:hanging="360"/>
      </w:pPr>
    </w:lvl>
    <w:lvl w:ilvl="8">
      <w:start w:val="13"/>
      <w:numFmt w:val="lowerRoman"/>
      <w:lvlText w:val="%9."/>
      <w:lvlJc w:val="left"/>
      <w:pPr>
        <w:ind w:left="6480" w:hanging="360"/>
      </w:pPr>
    </w:lvl>
  </w:abstractNum>
  <w:abstractNum w:abstractNumId="7" w15:restartNumberingAfterBreak="0">
    <w:nsid w:val="0A992014"/>
    <w:multiLevelType w:val="multilevel"/>
    <w:tmpl w:val="E7ECD0B6"/>
    <w:lvl w:ilvl="0">
      <w:start w:val="14"/>
      <w:numFmt w:val="decimal"/>
      <w:lvlText w:val="%1."/>
      <w:lvlJc w:val="left"/>
      <w:pPr>
        <w:ind w:left="720" w:hanging="360"/>
      </w:pPr>
    </w:lvl>
    <w:lvl w:ilvl="1">
      <w:start w:val="14"/>
      <w:numFmt w:val="lowerLetter"/>
      <w:lvlText w:val="%2."/>
      <w:lvlJc w:val="left"/>
      <w:pPr>
        <w:ind w:left="1440" w:hanging="360"/>
      </w:pPr>
    </w:lvl>
    <w:lvl w:ilvl="2">
      <w:start w:val="14"/>
      <w:numFmt w:val="lowerRoman"/>
      <w:lvlText w:val="%3."/>
      <w:lvlJc w:val="left"/>
      <w:pPr>
        <w:ind w:left="2160" w:hanging="360"/>
      </w:pPr>
    </w:lvl>
    <w:lvl w:ilvl="3">
      <w:start w:val="14"/>
      <w:numFmt w:val="decimal"/>
      <w:lvlText w:val="%4."/>
      <w:lvlJc w:val="left"/>
      <w:pPr>
        <w:ind w:left="2880" w:hanging="360"/>
      </w:pPr>
    </w:lvl>
    <w:lvl w:ilvl="4">
      <w:start w:val="14"/>
      <w:numFmt w:val="lowerLetter"/>
      <w:lvlText w:val="%5."/>
      <w:lvlJc w:val="left"/>
      <w:pPr>
        <w:ind w:left="3600" w:hanging="360"/>
      </w:pPr>
    </w:lvl>
    <w:lvl w:ilvl="5">
      <w:start w:val="14"/>
      <w:numFmt w:val="lowerRoman"/>
      <w:lvlText w:val="%6."/>
      <w:lvlJc w:val="left"/>
      <w:pPr>
        <w:ind w:left="4320" w:hanging="360"/>
      </w:pPr>
    </w:lvl>
    <w:lvl w:ilvl="6">
      <w:start w:val="14"/>
      <w:numFmt w:val="decimal"/>
      <w:lvlText w:val="%7."/>
      <w:lvlJc w:val="left"/>
      <w:pPr>
        <w:ind w:left="5040" w:hanging="360"/>
      </w:pPr>
    </w:lvl>
    <w:lvl w:ilvl="7">
      <w:start w:val="14"/>
      <w:numFmt w:val="lowerLetter"/>
      <w:lvlText w:val="%8."/>
      <w:lvlJc w:val="left"/>
      <w:pPr>
        <w:ind w:left="5760" w:hanging="360"/>
      </w:pPr>
    </w:lvl>
    <w:lvl w:ilvl="8">
      <w:start w:val="14"/>
      <w:numFmt w:val="lowerRoman"/>
      <w:lvlText w:val="%9."/>
      <w:lvlJc w:val="left"/>
      <w:pPr>
        <w:ind w:left="6480" w:hanging="360"/>
      </w:pPr>
    </w:lvl>
  </w:abstractNum>
  <w:abstractNum w:abstractNumId="8" w15:restartNumberingAfterBreak="0">
    <w:nsid w:val="10B515D5"/>
    <w:multiLevelType w:val="multilevel"/>
    <w:tmpl w:val="8F461DBE"/>
    <w:lvl w:ilvl="0">
      <w:start w:val="10"/>
      <w:numFmt w:val="decimal"/>
      <w:lvlText w:val="%1."/>
      <w:lvlJc w:val="left"/>
      <w:pPr>
        <w:tabs>
          <w:tab w:val="num" w:pos="0"/>
        </w:tabs>
        <w:ind w:left="720" w:hanging="360"/>
      </w:pPr>
    </w:lvl>
    <w:lvl w:ilvl="1">
      <w:start w:val="10"/>
      <w:numFmt w:val="lowerLetter"/>
      <w:lvlText w:val="%2."/>
      <w:lvlJc w:val="left"/>
      <w:pPr>
        <w:tabs>
          <w:tab w:val="num" w:pos="0"/>
        </w:tabs>
        <w:ind w:left="1440" w:hanging="360"/>
      </w:pPr>
    </w:lvl>
    <w:lvl w:ilvl="2">
      <w:start w:val="10"/>
      <w:numFmt w:val="lowerRoman"/>
      <w:lvlText w:val="%3."/>
      <w:lvlJc w:val="left"/>
      <w:pPr>
        <w:tabs>
          <w:tab w:val="num" w:pos="0"/>
        </w:tabs>
        <w:ind w:left="2160" w:hanging="360"/>
      </w:pPr>
    </w:lvl>
    <w:lvl w:ilvl="3">
      <w:start w:val="10"/>
      <w:numFmt w:val="decimal"/>
      <w:lvlText w:val="%4."/>
      <w:lvlJc w:val="left"/>
      <w:pPr>
        <w:tabs>
          <w:tab w:val="num" w:pos="0"/>
        </w:tabs>
        <w:ind w:left="2880" w:hanging="360"/>
      </w:pPr>
    </w:lvl>
    <w:lvl w:ilvl="4">
      <w:start w:val="10"/>
      <w:numFmt w:val="lowerLetter"/>
      <w:lvlText w:val="%5."/>
      <w:lvlJc w:val="left"/>
      <w:pPr>
        <w:tabs>
          <w:tab w:val="num" w:pos="0"/>
        </w:tabs>
        <w:ind w:left="3600" w:hanging="360"/>
      </w:pPr>
    </w:lvl>
    <w:lvl w:ilvl="5">
      <w:start w:val="10"/>
      <w:numFmt w:val="lowerRoman"/>
      <w:lvlText w:val="%6."/>
      <w:lvlJc w:val="left"/>
      <w:pPr>
        <w:tabs>
          <w:tab w:val="num" w:pos="0"/>
        </w:tabs>
        <w:ind w:left="4320" w:hanging="360"/>
      </w:pPr>
    </w:lvl>
    <w:lvl w:ilvl="6">
      <w:start w:val="10"/>
      <w:numFmt w:val="decimal"/>
      <w:lvlText w:val="%7."/>
      <w:lvlJc w:val="left"/>
      <w:pPr>
        <w:tabs>
          <w:tab w:val="num" w:pos="0"/>
        </w:tabs>
        <w:ind w:left="5040" w:hanging="360"/>
      </w:pPr>
    </w:lvl>
    <w:lvl w:ilvl="7">
      <w:start w:val="10"/>
      <w:numFmt w:val="lowerLetter"/>
      <w:lvlText w:val="%8."/>
      <w:lvlJc w:val="left"/>
      <w:pPr>
        <w:tabs>
          <w:tab w:val="num" w:pos="0"/>
        </w:tabs>
        <w:ind w:left="5760" w:hanging="360"/>
      </w:pPr>
    </w:lvl>
    <w:lvl w:ilvl="8">
      <w:start w:val="10"/>
      <w:numFmt w:val="lowerRoman"/>
      <w:lvlText w:val="%9."/>
      <w:lvlJc w:val="left"/>
      <w:pPr>
        <w:tabs>
          <w:tab w:val="num" w:pos="0"/>
        </w:tabs>
        <w:ind w:left="6480" w:hanging="360"/>
      </w:pPr>
    </w:lvl>
  </w:abstractNum>
  <w:abstractNum w:abstractNumId="9" w15:restartNumberingAfterBreak="0">
    <w:nsid w:val="10EC4E69"/>
    <w:multiLevelType w:val="multilevel"/>
    <w:tmpl w:val="9846617A"/>
    <w:lvl w:ilvl="0">
      <w:start w:val="4"/>
      <w:numFmt w:val="decimal"/>
      <w:lvlText w:val="%1."/>
      <w:lvlJc w:val="left"/>
      <w:pPr>
        <w:tabs>
          <w:tab w:val="num" w:pos="0"/>
        </w:tabs>
        <w:ind w:left="720" w:hanging="360"/>
      </w:pPr>
    </w:lvl>
    <w:lvl w:ilvl="1">
      <w:start w:val="4"/>
      <w:numFmt w:val="lowerLetter"/>
      <w:lvlText w:val="%2."/>
      <w:lvlJc w:val="left"/>
      <w:pPr>
        <w:tabs>
          <w:tab w:val="num" w:pos="0"/>
        </w:tabs>
        <w:ind w:left="1440" w:hanging="360"/>
      </w:pPr>
    </w:lvl>
    <w:lvl w:ilvl="2">
      <w:start w:val="4"/>
      <w:numFmt w:val="lowerRoman"/>
      <w:lvlText w:val="%3."/>
      <w:lvlJc w:val="left"/>
      <w:pPr>
        <w:tabs>
          <w:tab w:val="num" w:pos="0"/>
        </w:tabs>
        <w:ind w:left="2160" w:hanging="360"/>
      </w:pPr>
    </w:lvl>
    <w:lvl w:ilvl="3">
      <w:start w:val="4"/>
      <w:numFmt w:val="decimal"/>
      <w:lvlText w:val="%4."/>
      <w:lvlJc w:val="left"/>
      <w:pPr>
        <w:tabs>
          <w:tab w:val="num" w:pos="0"/>
        </w:tabs>
        <w:ind w:left="2880" w:hanging="360"/>
      </w:pPr>
    </w:lvl>
    <w:lvl w:ilvl="4">
      <w:start w:val="4"/>
      <w:numFmt w:val="lowerLetter"/>
      <w:lvlText w:val="%5."/>
      <w:lvlJc w:val="left"/>
      <w:pPr>
        <w:tabs>
          <w:tab w:val="num" w:pos="0"/>
        </w:tabs>
        <w:ind w:left="3600" w:hanging="360"/>
      </w:pPr>
    </w:lvl>
    <w:lvl w:ilvl="5">
      <w:start w:val="4"/>
      <w:numFmt w:val="lowerRoman"/>
      <w:lvlText w:val="%6."/>
      <w:lvlJc w:val="left"/>
      <w:pPr>
        <w:tabs>
          <w:tab w:val="num" w:pos="0"/>
        </w:tabs>
        <w:ind w:left="4320" w:hanging="360"/>
      </w:pPr>
    </w:lvl>
    <w:lvl w:ilvl="6">
      <w:start w:val="4"/>
      <w:numFmt w:val="decimal"/>
      <w:lvlText w:val="%7."/>
      <w:lvlJc w:val="left"/>
      <w:pPr>
        <w:tabs>
          <w:tab w:val="num" w:pos="0"/>
        </w:tabs>
        <w:ind w:left="5040" w:hanging="360"/>
      </w:pPr>
    </w:lvl>
    <w:lvl w:ilvl="7">
      <w:start w:val="4"/>
      <w:numFmt w:val="lowerLetter"/>
      <w:lvlText w:val="%8."/>
      <w:lvlJc w:val="left"/>
      <w:pPr>
        <w:tabs>
          <w:tab w:val="num" w:pos="0"/>
        </w:tabs>
        <w:ind w:left="5760" w:hanging="360"/>
      </w:pPr>
    </w:lvl>
    <w:lvl w:ilvl="8">
      <w:start w:val="4"/>
      <w:numFmt w:val="lowerRoman"/>
      <w:lvlText w:val="%9."/>
      <w:lvlJc w:val="left"/>
      <w:pPr>
        <w:tabs>
          <w:tab w:val="num" w:pos="0"/>
        </w:tabs>
        <w:ind w:left="6480" w:hanging="360"/>
      </w:pPr>
    </w:lvl>
  </w:abstractNum>
  <w:abstractNum w:abstractNumId="10" w15:restartNumberingAfterBreak="0">
    <w:nsid w:val="1BDC7127"/>
    <w:multiLevelType w:val="multilevel"/>
    <w:tmpl w:val="549E978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1D3C3E33"/>
    <w:multiLevelType w:val="multilevel"/>
    <w:tmpl w:val="FAB80A80"/>
    <w:lvl w:ilvl="0">
      <w:start w:val="14"/>
      <w:numFmt w:val="decimal"/>
      <w:lvlText w:val="%1."/>
      <w:lvlJc w:val="left"/>
      <w:pPr>
        <w:tabs>
          <w:tab w:val="num" w:pos="0"/>
        </w:tabs>
        <w:ind w:left="720" w:hanging="360"/>
      </w:pPr>
    </w:lvl>
    <w:lvl w:ilvl="1">
      <w:start w:val="14"/>
      <w:numFmt w:val="lowerLetter"/>
      <w:lvlText w:val="%2."/>
      <w:lvlJc w:val="left"/>
      <w:pPr>
        <w:tabs>
          <w:tab w:val="num" w:pos="0"/>
        </w:tabs>
        <w:ind w:left="1440" w:hanging="360"/>
      </w:pPr>
    </w:lvl>
    <w:lvl w:ilvl="2">
      <w:start w:val="14"/>
      <w:numFmt w:val="lowerRoman"/>
      <w:lvlText w:val="%3."/>
      <w:lvlJc w:val="left"/>
      <w:pPr>
        <w:tabs>
          <w:tab w:val="num" w:pos="0"/>
        </w:tabs>
        <w:ind w:left="2160" w:hanging="360"/>
      </w:pPr>
    </w:lvl>
    <w:lvl w:ilvl="3">
      <w:start w:val="14"/>
      <w:numFmt w:val="decimal"/>
      <w:lvlText w:val="%4."/>
      <w:lvlJc w:val="left"/>
      <w:pPr>
        <w:tabs>
          <w:tab w:val="num" w:pos="0"/>
        </w:tabs>
        <w:ind w:left="2880" w:hanging="360"/>
      </w:pPr>
    </w:lvl>
    <w:lvl w:ilvl="4">
      <w:start w:val="14"/>
      <w:numFmt w:val="lowerLetter"/>
      <w:lvlText w:val="%5."/>
      <w:lvlJc w:val="left"/>
      <w:pPr>
        <w:tabs>
          <w:tab w:val="num" w:pos="0"/>
        </w:tabs>
        <w:ind w:left="3600" w:hanging="360"/>
      </w:pPr>
    </w:lvl>
    <w:lvl w:ilvl="5">
      <w:start w:val="14"/>
      <w:numFmt w:val="lowerRoman"/>
      <w:lvlText w:val="%6."/>
      <w:lvlJc w:val="left"/>
      <w:pPr>
        <w:tabs>
          <w:tab w:val="num" w:pos="0"/>
        </w:tabs>
        <w:ind w:left="4320" w:hanging="360"/>
      </w:pPr>
    </w:lvl>
    <w:lvl w:ilvl="6">
      <w:start w:val="14"/>
      <w:numFmt w:val="decimal"/>
      <w:lvlText w:val="%7."/>
      <w:lvlJc w:val="left"/>
      <w:pPr>
        <w:tabs>
          <w:tab w:val="num" w:pos="0"/>
        </w:tabs>
        <w:ind w:left="5040" w:hanging="360"/>
      </w:pPr>
    </w:lvl>
    <w:lvl w:ilvl="7">
      <w:start w:val="14"/>
      <w:numFmt w:val="lowerLetter"/>
      <w:lvlText w:val="%8."/>
      <w:lvlJc w:val="left"/>
      <w:pPr>
        <w:tabs>
          <w:tab w:val="num" w:pos="0"/>
        </w:tabs>
        <w:ind w:left="5760" w:hanging="360"/>
      </w:pPr>
    </w:lvl>
    <w:lvl w:ilvl="8">
      <w:start w:val="14"/>
      <w:numFmt w:val="lowerRoman"/>
      <w:lvlText w:val="%9."/>
      <w:lvlJc w:val="left"/>
      <w:pPr>
        <w:tabs>
          <w:tab w:val="num" w:pos="0"/>
        </w:tabs>
        <w:ind w:left="6480" w:hanging="360"/>
      </w:pPr>
    </w:lvl>
  </w:abstractNum>
  <w:abstractNum w:abstractNumId="12" w15:restartNumberingAfterBreak="0">
    <w:nsid w:val="1DAA4334"/>
    <w:multiLevelType w:val="multilevel"/>
    <w:tmpl w:val="CE9829F0"/>
    <w:lvl w:ilvl="0">
      <w:start w:val="8"/>
      <w:numFmt w:val="decimal"/>
      <w:lvlText w:val="%1."/>
      <w:lvlJc w:val="left"/>
      <w:pPr>
        <w:tabs>
          <w:tab w:val="num" w:pos="0"/>
        </w:tabs>
        <w:ind w:left="720" w:hanging="360"/>
      </w:pPr>
    </w:lvl>
    <w:lvl w:ilvl="1">
      <w:start w:val="8"/>
      <w:numFmt w:val="lowerLetter"/>
      <w:lvlText w:val="%2."/>
      <w:lvlJc w:val="left"/>
      <w:pPr>
        <w:tabs>
          <w:tab w:val="num" w:pos="0"/>
        </w:tabs>
        <w:ind w:left="1440" w:hanging="360"/>
      </w:pPr>
    </w:lvl>
    <w:lvl w:ilvl="2">
      <w:start w:val="8"/>
      <w:numFmt w:val="lowerRoman"/>
      <w:lvlText w:val="%3."/>
      <w:lvlJc w:val="left"/>
      <w:pPr>
        <w:tabs>
          <w:tab w:val="num" w:pos="0"/>
        </w:tabs>
        <w:ind w:left="2160" w:hanging="360"/>
      </w:pPr>
    </w:lvl>
    <w:lvl w:ilvl="3">
      <w:start w:val="8"/>
      <w:numFmt w:val="decimal"/>
      <w:lvlText w:val="%4."/>
      <w:lvlJc w:val="left"/>
      <w:pPr>
        <w:tabs>
          <w:tab w:val="num" w:pos="0"/>
        </w:tabs>
        <w:ind w:left="2880" w:hanging="360"/>
      </w:pPr>
    </w:lvl>
    <w:lvl w:ilvl="4">
      <w:start w:val="8"/>
      <w:numFmt w:val="lowerLetter"/>
      <w:lvlText w:val="%5."/>
      <w:lvlJc w:val="left"/>
      <w:pPr>
        <w:tabs>
          <w:tab w:val="num" w:pos="0"/>
        </w:tabs>
        <w:ind w:left="3600" w:hanging="360"/>
      </w:pPr>
    </w:lvl>
    <w:lvl w:ilvl="5">
      <w:start w:val="8"/>
      <w:numFmt w:val="lowerRoman"/>
      <w:lvlText w:val="%6."/>
      <w:lvlJc w:val="left"/>
      <w:pPr>
        <w:tabs>
          <w:tab w:val="num" w:pos="0"/>
        </w:tabs>
        <w:ind w:left="4320" w:hanging="360"/>
      </w:pPr>
    </w:lvl>
    <w:lvl w:ilvl="6">
      <w:start w:val="8"/>
      <w:numFmt w:val="decimal"/>
      <w:lvlText w:val="%7."/>
      <w:lvlJc w:val="left"/>
      <w:pPr>
        <w:tabs>
          <w:tab w:val="num" w:pos="0"/>
        </w:tabs>
        <w:ind w:left="5040" w:hanging="360"/>
      </w:pPr>
    </w:lvl>
    <w:lvl w:ilvl="7">
      <w:start w:val="8"/>
      <w:numFmt w:val="lowerLetter"/>
      <w:lvlText w:val="%8."/>
      <w:lvlJc w:val="left"/>
      <w:pPr>
        <w:tabs>
          <w:tab w:val="num" w:pos="0"/>
        </w:tabs>
        <w:ind w:left="5760" w:hanging="360"/>
      </w:pPr>
    </w:lvl>
    <w:lvl w:ilvl="8">
      <w:start w:val="8"/>
      <w:numFmt w:val="lowerRoman"/>
      <w:lvlText w:val="%9."/>
      <w:lvlJc w:val="left"/>
      <w:pPr>
        <w:tabs>
          <w:tab w:val="num" w:pos="0"/>
        </w:tabs>
        <w:ind w:left="6480" w:hanging="360"/>
      </w:pPr>
    </w:lvl>
  </w:abstractNum>
  <w:abstractNum w:abstractNumId="13" w15:restartNumberingAfterBreak="0">
    <w:nsid w:val="463E086A"/>
    <w:multiLevelType w:val="multilevel"/>
    <w:tmpl w:val="FFE6B174"/>
    <w:lvl w:ilvl="0">
      <w:start w:val="13"/>
      <w:numFmt w:val="decimal"/>
      <w:lvlText w:val="%1."/>
      <w:lvlJc w:val="left"/>
      <w:pPr>
        <w:tabs>
          <w:tab w:val="num" w:pos="0"/>
        </w:tabs>
        <w:ind w:left="720" w:hanging="360"/>
      </w:pPr>
    </w:lvl>
    <w:lvl w:ilvl="1">
      <w:start w:val="13"/>
      <w:numFmt w:val="lowerLetter"/>
      <w:lvlText w:val="%2."/>
      <w:lvlJc w:val="left"/>
      <w:pPr>
        <w:tabs>
          <w:tab w:val="num" w:pos="0"/>
        </w:tabs>
        <w:ind w:left="1440" w:hanging="360"/>
      </w:pPr>
    </w:lvl>
    <w:lvl w:ilvl="2">
      <w:start w:val="13"/>
      <w:numFmt w:val="lowerRoman"/>
      <w:lvlText w:val="%3."/>
      <w:lvlJc w:val="left"/>
      <w:pPr>
        <w:tabs>
          <w:tab w:val="num" w:pos="0"/>
        </w:tabs>
        <w:ind w:left="2160" w:hanging="360"/>
      </w:pPr>
    </w:lvl>
    <w:lvl w:ilvl="3">
      <w:start w:val="13"/>
      <w:numFmt w:val="decimal"/>
      <w:lvlText w:val="%4."/>
      <w:lvlJc w:val="left"/>
      <w:pPr>
        <w:tabs>
          <w:tab w:val="num" w:pos="0"/>
        </w:tabs>
        <w:ind w:left="2880" w:hanging="360"/>
      </w:pPr>
    </w:lvl>
    <w:lvl w:ilvl="4">
      <w:start w:val="13"/>
      <w:numFmt w:val="lowerLetter"/>
      <w:lvlText w:val="%5."/>
      <w:lvlJc w:val="left"/>
      <w:pPr>
        <w:tabs>
          <w:tab w:val="num" w:pos="0"/>
        </w:tabs>
        <w:ind w:left="3600" w:hanging="360"/>
      </w:pPr>
    </w:lvl>
    <w:lvl w:ilvl="5">
      <w:start w:val="13"/>
      <w:numFmt w:val="lowerRoman"/>
      <w:lvlText w:val="%6."/>
      <w:lvlJc w:val="left"/>
      <w:pPr>
        <w:tabs>
          <w:tab w:val="num" w:pos="0"/>
        </w:tabs>
        <w:ind w:left="4320" w:hanging="360"/>
      </w:pPr>
    </w:lvl>
    <w:lvl w:ilvl="6">
      <w:start w:val="13"/>
      <w:numFmt w:val="decimal"/>
      <w:lvlText w:val="%7."/>
      <w:lvlJc w:val="left"/>
      <w:pPr>
        <w:tabs>
          <w:tab w:val="num" w:pos="0"/>
        </w:tabs>
        <w:ind w:left="5040" w:hanging="360"/>
      </w:pPr>
    </w:lvl>
    <w:lvl w:ilvl="7">
      <w:start w:val="13"/>
      <w:numFmt w:val="lowerLetter"/>
      <w:lvlText w:val="%8."/>
      <w:lvlJc w:val="left"/>
      <w:pPr>
        <w:tabs>
          <w:tab w:val="num" w:pos="0"/>
        </w:tabs>
        <w:ind w:left="5760" w:hanging="360"/>
      </w:pPr>
    </w:lvl>
    <w:lvl w:ilvl="8">
      <w:start w:val="13"/>
      <w:numFmt w:val="lowerRoman"/>
      <w:lvlText w:val="%9."/>
      <w:lvlJc w:val="left"/>
      <w:pPr>
        <w:tabs>
          <w:tab w:val="num" w:pos="0"/>
        </w:tabs>
        <w:ind w:left="6480" w:hanging="360"/>
      </w:pPr>
    </w:lvl>
  </w:abstractNum>
  <w:abstractNum w:abstractNumId="14" w15:restartNumberingAfterBreak="0">
    <w:nsid w:val="4B0F4BD6"/>
    <w:multiLevelType w:val="multilevel"/>
    <w:tmpl w:val="3D762C4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360"/>
      </w:pPr>
    </w:lvl>
  </w:abstractNum>
  <w:abstractNum w:abstractNumId="15" w15:restartNumberingAfterBreak="0">
    <w:nsid w:val="798B1E71"/>
    <w:multiLevelType w:val="multilevel"/>
    <w:tmpl w:val="00284180"/>
    <w:lvl w:ilvl="0">
      <w:start w:val="5"/>
      <w:numFmt w:val="decimal"/>
      <w:lvlText w:val="%1."/>
      <w:lvlJc w:val="left"/>
      <w:pPr>
        <w:tabs>
          <w:tab w:val="num" w:pos="0"/>
        </w:tabs>
        <w:ind w:left="720" w:hanging="360"/>
      </w:pPr>
    </w:lvl>
    <w:lvl w:ilvl="1">
      <w:start w:val="5"/>
      <w:numFmt w:val="lowerLetter"/>
      <w:lvlText w:val="%2."/>
      <w:lvlJc w:val="left"/>
      <w:pPr>
        <w:tabs>
          <w:tab w:val="num" w:pos="0"/>
        </w:tabs>
        <w:ind w:left="1440" w:hanging="360"/>
      </w:pPr>
    </w:lvl>
    <w:lvl w:ilvl="2">
      <w:start w:val="5"/>
      <w:numFmt w:val="lowerRoman"/>
      <w:lvlText w:val="%3."/>
      <w:lvlJc w:val="left"/>
      <w:pPr>
        <w:tabs>
          <w:tab w:val="num" w:pos="0"/>
        </w:tabs>
        <w:ind w:left="2160" w:hanging="360"/>
      </w:pPr>
    </w:lvl>
    <w:lvl w:ilvl="3">
      <w:start w:val="5"/>
      <w:numFmt w:val="decimal"/>
      <w:lvlText w:val="%4."/>
      <w:lvlJc w:val="left"/>
      <w:pPr>
        <w:tabs>
          <w:tab w:val="num" w:pos="0"/>
        </w:tabs>
        <w:ind w:left="2880" w:hanging="360"/>
      </w:pPr>
    </w:lvl>
    <w:lvl w:ilvl="4">
      <w:start w:val="5"/>
      <w:numFmt w:val="lowerLetter"/>
      <w:lvlText w:val="%5."/>
      <w:lvlJc w:val="left"/>
      <w:pPr>
        <w:tabs>
          <w:tab w:val="num" w:pos="0"/>
        </w:tabs>
        <w:ind w:left="3600" w:hanging="360"/>
      </w:pPr>
    </w:lvl>
    <w:lvl w:ilvl="5">
      <w:start w:val="5"/>
      <w:numFmt w:val="lowerRoman"/>
      <w:lvlText w:val="%6."/>
      <w:lvlJc w:val="left"/>
      <w:pPr>
        <w:tabs>
          <w:tab w:val="num" w:pos="0"/>
        </w:tabs>
        <w:ind w:left="4320" w:hanging="360"/>
      </w:pPr>
    </w:lvl>
    <w:lvl w:ilvl="6">
      <w:start w:val="5"/>
      <w:numFmt w:val="decimal"/>
      <w:lvlText w:val="%7."/>
      <w:lvlJc w:val="left"/>
      <w:pPr>
        <w:tabs>
          <w:tab w:val="num" w:pos="0"/>
        </w:tabs>
        <w:ind w:left="5040" w:hanging="360"/>
      </w:pPr>
    </w:lvl>
    <w:lvl w:ilvl="7">
      <w:start w:val="5"/>
      <w:numFmt w:val="lowerLetter"/>
      <w:lvlText w:val="%8."/>
      <w:lvlJc w:val="left"/>
      <w:pPr>
        <w:tabs>
          <w:tab w:val="num" w:pos="0"/>
        </w:tabs>
        <w:ind w:left="5760" w:hanging="360"/>
      </w:pPr>
    </w:lvl>
    <w:lvl w:ilvl="8">
      <w:start w:val="5"/>
      <w:numFmt w:val="lowerRoman"/>
      <w:lvlText w:val="%9."/>
      <w:lvlJc w:val="left"/>
      <w:pPr>
        <w:tabs>
          <w:tab w:val="num" w:pos="0"/>
        </w:tabs>
        <w:ind w:left="6480" w:hanging="360"/>
      </w:pPr>
    </w:lvl>
  </w:abstractNum>
  <w:num w:numId="1">
    <w:abstractNumId w:val="14"/>
  </w:num>
  <w:num w:numId="2">
    <w:abstractNumId w:val="9"/>
  </w:num>
  <w:num w:numId="3">
    <w:abstractNumId w:val="15"/>
  </w:num>
  <w:num w:numId="4">
    <w:abstractNumId w:val="12"/>
  </w:num>
  <w:num w:numId="5">
    <w:abstractNumId w:val="8"/>
  </w:num>
  <w:num w:numId="6">
    <w:abstractNumId w:val="13"/>
  </w:num>
  <w:num w:numId="7">
    <w:abstractNumId w:val="11"/>
  </w:num>
  <w:num w:numId="8">
    <w:abstractNumId w:val="10"/>
  </w:num>
  <w:num w:numId="9">
    <w:abstractNumId w:val="14"/>
    <w:lvlOverride w:ilvl="0">
      <w:startOverride w:val="1"/>
    </w:lvlOverride>
  </w:num>
  <w:num w:numId="10">
    <w:abstractNumId w:val="9"/>
    <w:lvlOverride w:ilvl="0">
      <w:startOverride w:val="4"/>
    </w:lvlOverride>
  </w:num>
  <w:num w:numId="11">
    <w:abstractNumId w:val="15"/>
    <w:lvlOverride w:ilvl="0">
      <w:startOverride w:val="5"/>
    </w:lvlOverride>
  </w:num>
  <w:num w:numId="12">
    <w:abstractNumId w:val="12"/>
    <w:lvlOverride w:ilvl="0">
      <w:startOverride w:val="8"/>
    </w:lvlOverride>
  </w:num>
  <w:num w:numId="13">
    <w:abstractNumId w:val="8"/>
    <w:lvlOverride w:ilvl="0">
      <w:startOverride w:val="10"/>
    </w:lvlOverride>
  </w:num>
  <w:num w:numId="14">
    <w:abstractNumId w:val="13"/>
    <w:lvlOverride w:ilvl="0">
      <w:startOverride w:val="13"/>
    </w:lvlOverride>
  </w:num>
  <w:num w:numId="15">
    <w:abstractNumId w:val="11"/>
    <w:lvlOverride w:ilvl="0">
      <w:startOverride w:val="14"/>
    </w:lvlOverride>
  </w:num>
  <w:num w:numId="16">
    <w:abstractNumId w:val="0"/>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9">
    <w:abstractNumId w:val="3"/>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20">
    <w:abstractNumId w:val="4"/>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21">
    <w:abstractNumId w:val="5"/>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22">
    <w:abstractNumId w:val="6"/>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23">
    <w:abstractNumId w:val="7"/>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autoHyphenation/>
  <w:hyphenationZone w:val="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FDC"/>
    <w:rsid w:val="0004793B"/>
    <w:rsid w:val="00161F9B"/>
    <w:rsid w:val="001E7A3B"/>
    <w:rsid w:val="002E495D"/>
    <w:rsid w:val="006E7C85"/>
    <w:rsid w:val="008C7F4D"/>
    <w:rsid w:val="00BF0FDC"/>
    <w:rsid w:val="00CC54D0"/>
    <w:rsid w:val="00ED3F76"/>
    <w:rsid w:val="00FD5EFB"/>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0F83E"/>
  <w15:docId w15:val="{F3FF64AA-C940-481F-BD26-7F82F25F1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uppressAutoHyphens/>
      </w:pPr>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spacing w:after="200"/>
    </w:pPr>
    <w:rPr>
      <w:rFonts w:ascii="Noto Sans" w:hAnsi="Noto Sans"/>
      <w:sz w:val="20"/>
    </w:rPr>
  </w:style>
  <w:style w:type="paragraph" w:styleId="1">
    <w:name w:val="heading 1"/>
    <w:basedOn w:val="a"/>
    <w:next w:val="a0"/>
    <w:link w:val="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Char"/>
    <w:uiPriority w:val="9"/>
    <w:semiHidden/>
    <w:unhideWhenUsed/>
    <w:qFormat/>
    <w:rsid w:val="00A10FD9"/>
    <w:pPr>
      <w:keepNext/>
      <w:keepLines/>
      <w:spacing w:before="160" w:after="80"/>
      <w:outlineLvl w:val="1"/>
    </w:pPr>
    <w:rPr>
      <w:rFonts w:eastAsiaTheme="majorEastAsia" w:cstheme="majorBidi"/>
      <w:color w:val="0F4761" w:themeColor="accent1" w:themeShade="BF"/>
      <w:sz w:val="28"/>
      <w:szCs w:val="32"/>
    </w:rPr>
  </w:style>
  <w:style w:type="paragraph" w:styleId="3">
    <w:name w:val="heading 3"/>
    <w:basedOn w:val="a"/>
    <w:next w:val="a0"/>
    <w:link w:val="3Char"/>
    <w:uiPriority w:val="9"/>
    <w:semiHidden/>
    <w:unhideWhenUsed/>
    <w:qFormat/>
    <w:rsid w:val="00A10FD9"/>
    <w:pPr>
      <w:keepNext/>
      <w:keepLines/>
      <w:spacing w:before="160" w:after="80"/>
      <w:outlineLvl w:val="2"/>
    </w:pPr>
    <w:rPr>
      <w:rFonts w:eastAsiaTheme="majorEastAsia" w:cstheme="majorBidi"/>
      <w:b/>
      <w:color w:val="0F4761" w:themeColor="accent1" w:themeShade="BF"/>
      <w:sz w:val="24"/>
      <w:szCs w:val="28"/>
    </w:rPr>
  </w:style>
  <w:style w:type="paragraph" w:styleId="4">
    <w:name w:val="heading 4"/>
    <w:basedOn w:val="a"/>
    <w:next w:val="a0"/>
    <w:link w:val="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Char">
    <w:name w:val="Τίτλος Char"/>
    <w:basedOn w:val="a1"/>
    <w:link w:val="a4"/>
    <w:uiPriority w:val="10"/>
    <w:qFormat/>
    <w:rsid w:val="00A10FD9"/>
    <w:rPr>
      <w:rFonts w:asciiTheme="majorHAnsi" w:eastAsiaTheme="majorEastAsia" w:hAnsiTheme="majorHAnsi" w:cstheme="majorBidi"/>
      <w:spacing w:val="-10"/>
      <w:kern w:val="2"/>
      <w:sz w:val="56"/>
      <w:szCs w:val="56"/>
    </w:rPr>
  </w:style>
  <w:style w:type="character" w:customStyle="1" w:styleId="Char0">
    <w:name w:val="Υπότιτλος Char"/>
    <w:basedOn w:val="a1"/>
    <w:link w:val="a5"/>
    <w:uiPriority w:val="11"/>
    <w:qFormat/>
    <w:rsid w:val="00A10FD9"/>
    <w:rPr>
      <w:rFonts w:eastAsiaTheme="majorEastAsia" w:cstheme="majorBidi"/>
      <w:color w:val="595959" w:themeColor="text1" w:themeTint="A6"/>
      <w:spacing w:val="15"/>
      <w:sz w:val="28"/>
      <w:szCs w:val="28"/>
    </w:rPr>
  </w:style>
  <w:style w:type="character" w:customStyle="1" w:styleId="1Char">
    <w:name w:val="Επικεφαλίδα 1 Char"/>
    <w:basedOn w:val="a1"/>
    <w:link w:val="1"/>
    <w:uiPriority w:val="9"/>
    <w:qFormat/>
    <w:rsid w:val="00A10FD9"/>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1"/>
    <w:link w:val="2"/>
    <w:uiPriority w:val="9"/>
    <w:semiHidden/>
    <w:qFormat/>
    <w:rsid w:val="00A10FD9"/>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1"/>
    <w:link w:val="3"/>
    <w:uiPriority w:val="9"/>
    <w:semiHidden/>
    <w:qFormat/>
    <w:rsid w:val="00A10FD9"/>
    <w:rPr>
      <w:rFonts w:eastAsiaTheme="majorEastAsia" w:cstheme="majorBidi"/>
      <w:color w:val="0F4761" w:themeColor="accent1" w:themeShade="BF"/>
      <w:sz w:val="28"/>
      <w:szCs w:val="28"/>
    </w:rPr>
  </w:style>
  <w:style w:type="character" w:customStyle="1" w:styleId="4Char">
    <w:name w:val="Επικεφαλίδα 4 Char"/>
    <w:basedOn w:val="a1"/>
    <w:link w:val="4"/>
    <w:uiPriority w:val="9"/>
    <w:semiHidden/>
    <w:qFormat/>
    <w:rsid w:val="00A10FD9"/>
    <w:rPr>
      <w:rFonts w:eastAsiaTheme="majorEastAsia" w:cstheme="majorBidi"/>
      <w:i/>
      <w:iCs/>
      <w:color w:val="0F4761" w:themeColor="accent1" w:themeShade="BF"/>
    </w:rPr>
  </w:style>
  <w:style w:type="character" w:customStyle="1" w:styleId="5Char">
    <w:name w:val="Επικεφαλίδα 5 Char"/>
    <w:basedOn w:val="a1"/>
    <w:link w:val="5"/>
    <w:uiPriority w:val="9"/>
    <w:semiHidden/>
    <w:qFormat/>
    <w:rsid w:val="00A10FD9"/>
    <w:rPr>
      <w:rFonts w:eastAsiaTheme="majorEastAsia" w:cstheme="majorBidi"/>
      <w:color w:val="0F4761" w:themeColor="accent1" w:themeShade="BF"/>
    </w:rPr>
  </w:style>
  <w:style w:type="character" w:customStyle="1" w:styleId="6Char">
    <w:name w:val="Επικεφαλίδα 6 Char"/>
    <w:basedOn w:val="a1"/>
    <w:link w:val="6"/>
    <w:uiPriority w:val="9"/>
    <w:semiHidden/>
    <w:qFormat/>
    <w:rsid w:val="00A10FD9"/>
    <w:rPr>
      <w:rFonts w:eastAsiaTheme="majorEastAsia" w:cstheme="majorBidi"/>
      <w:i/>
      <w:iCs/>
      <w:color w:val="595959" w:themeColor="text1" w:themeTint="A6"/>
    </w:rPr>
  </w:style>
  <w:style w:type="character" w:customStyle="1" w:styleId="7Char">
    <w:name w:val="Επικεφαλίδα 7 Char"/>
    <w:basedOn w:val="a1"/>
    <w:link w:val="7"/>
    <w:uiPriority w:val="9"/>
    <w:semiHidden/>
    <w:qFormat/>
    <w:rsid w:val="00A10FD9"/>
    <w:rPr>
      <w:rFonts w:eastAsiaTheme="majorEastAsia" w:cstheme="majorBidi"/>
      <w:color w:val="595959" w:themeColor="text1" w:themeTint="A6"/>
    </w:rPr>
  </w:style>
  <w:style w:type="character" w:customStyle="1" w:styleId="8Char">
    <w:name w:val="Επικεφαλίδα 8 Char"/>
    <w:basedOn w:val="a1"/>
    <w:link w:val="8"/>
    <w:uiPriority w:val="9"/>
    <w:semiHidden/>
    <w:qFormat/>
    <w:rsid w:val="00A10FD9"/>
    <w:rPr>
      <w:rFonts w:eastAsiaTheme="majorEastAsia" w:cstheme="majorBidi"/>
      <w:i/>
      <w:iCs/>
      <w:color w:val="272727" w:themeColor="text1" w:themeTint="D8"/>
    </w:rPr>
  </w:style>
  <w:style w:type="character" w:customStyle="1" w:styleId="9Char">
    <w:name w:val="Επικεφαλίδα 9 Char"/>
    <w:basedOn w:val="a1"/>
    <w:link w:val="9"/>
    <w:uiPriority w:val="9"/>
    <w:semiHidden/>
    <w:qFormat/>
    <w:rsid w:val="00A10FD9"/>
    <w:rPr>
      <w:rFonts w:eastAsiaTheme="majorEastAsia" w:cstheme="majorBidi"/>
      <w:color w:val="272727" w:themeColor="text1" w:themeTint="D8"/>
    </w:rPr>
  </w:style>
  <w:style w:type="character" w:customStyle="1" w:styleId="Char1">
    <w:name w:val="Λεζάντα Char"/>
    <w:basedOn w:val="a1"/>
    <w:link w:val="a6"/>
    <w:qFormat/>
  </w:style>
  <w:style w:type="character" w:customStyle="1" w:styleId="VerbatimChar">
    <w:name w:val="Verbatim Char"/>
    <w:basedOn w:val="Char1"/>
    <w:link w:val="SourceCode"/>
    <w:qFormat/>
    <w:rPr>
      <w:rFonts w:ascii="Consolas" w:hAnsi="Consolas"/>
      <w:sz w:val="22"/>
    </w:rPr>
  </w:style>
  <w:style w:type="character" w:customStyle="1" w:styleId="SectionNumber">
    <w:name w:val="Section Number"/>
    <w:basedOn w:val="Char1"/>
    <w:qFormat/>
  </w:style>
  <w:style w:type="character" w:customStyle="1" w:styleId="FootnoteCharacters">
    <w:name w:val="Footnote Characters"/>
    <w:basedOn w:val="Char1"/>
    <w:qFormat/>
    <w:rPr>
      <w:vertAlign w:val="superscript"/>
    </w:rPr>
  </w:style>
  <w:style w:type="character" w:styleId="a7">
    <w:name w:val="footnote reference"/>
    <w:rPr>
      <w:vertAlign w:val="superscript"/>
    </w:rPr>
  </w:style>
  <w:style w:type="character" w:styleId="-">
    <w:name w:val="Hyperlink"/>
    <w:basedOn w:val="Char1"/>
    <w:rPr>
      <w:color w:val="156082" w:themeColor="accent1"/>
    </w:rPr>
  </w:style>
  <w:style w:type="character" w:customStyle="1" w:styleId="KeywordTok">
    <w:name w:val="KeywordTok"/>
    <w:basedOn w:val="VerbatimChar"/>
    <w:qFormat/>
    <w:rPr>
      <w:rFonts w:ascii="Consolas" w:hAnsi="Consolas"/>
      <w:b/>
      <w:color w:val="007020"/>
      <w:sz w:val="22"/>
    </w:rPr>
  </w:style>
  <w:style w:type="character" w:customStyle="1" w:styleId="DataTypeTok">
    <w:name w:val="DataTypeTok"/>
    <w:basedOn w:val="VerbatimChar"/>
    <w:qFormat/>
    <w:rPr>
      <w:rFonts w:ascii="Consolas" w:hAnsi="Consolas"/>
      <w:color w:val="902000"/>
      <w:sz w:val="22"/>
    </w:rPr>
  </w:style>
  <w:style w:type="character" w:customStyle="1" w:styleId="DecValTok">
    <w:name w:val="DecValTok"/>
    <w:basedOn w:val="VerbatimChar"/>
    <w:qFormat/>
    <w:rPr>
      <w:rFonts w:ascii="Consolas" w:hAnsi="Consolas"/>
      <w:color w:val="40A070"/>
      <w:sz w:val="22"/>
    </w:rPr>
  </w:style>
  <w:style w:type="character" w:customStyle="1" w:styleId="BaseNTok">
    <w:name w:val="BaseNTok"/>
    <w:basedOn w:val="VerbatimChar"/>
    <w:qFormat/>
    <w:rPr>
      <w:rFonts w:ascii="Consolas" w:hAnsi="Consolas"/>
      <w:color w:val="40A070"/>
      <w:sz w:val="22"/>
    </w:rPr>
  </w:style>
  <w:style w:type="character" w:customStyle="1" w:styleId="FloatTok">
    <w:name w:val="FloatTok"/>
    <w:basedOn w:val="VerbatimChar"/>
    <w:qFormat/>
    <w:rPr>
      <w:rFonts w:ascii="Consolas" w:hAnsi="Consolas"/>
      <w:color w:val="40A070"/>
      <w:sz w:val="22"/>
    </w:rPr>
  </w:style>
  <w:style w:type="character" w:customStyle="1" w:styleId="ConstantTok">
    <w:name w:val="ConstantTok"/>
    <w:basedOn w:val="VerbatimChar"/>
    <w:qFormat/>
    <w:rPr>
      <w:rFonts w:ascii="Consolas" w:hAnsi="Consolas"/>
      <w:color w:val="880000"/>
      <w:sz w:val="22"/>
    </w:rPr>
  </w:style>
  <w:style w:type="character" w:customStyle="1" w:styleId="CharTok">
    <w:name w:val="CharTok"/>
    <w:basedOn w:val="VerbatimChar"/>
    <w:qFormat/>
    <w:rPr>
      <w:rFonts w:ascii="Consolas" w:hAnsi="Consolas"/>
      <w:color w:val="4070A0"/>
      <w:sz w:val="22"/>
    </w:rPr>
  </w:style>
  <w:style w:type="character" w:customStyle="1" w:styleId="SpecialCharTok">
    <w:name w:val="SpecialCharTok"/>
    <w:basedOn w:val="VerbatimChar"/>
    <w:qFormat/>
    <w:rPr>
      <w:rFonts w:ascii="Consolas" w:hAnsi="Consolas"/>
      <w:color w:val="4070A0"/>
      <w:sz w:val="22"/>
    </w:rPr>
  </w:style>
  <w:style w:type="character" w:customStyle="1" w:styleId="StringTok">
    <w:name w:val="StringTok"/>
    <w:basedOn w:val="VerbatimChar"/>
    <w:qFormat/>
    <w:rPr>
      <w:rFonts w:ascii="Consolas" w:hAnsi="Consolas"/>
      <w:color w:val="4070A0"/>
      <w:sz w:val="22"/>
    </w:rPr>
  </w:style>
  <w:style w:type="character" w:customStyle="1" w:styleId="VerbatimStringTok">
    <w:name w:val="VerbatimStringTok"/>
    <w:basedOn w:val="VerbatimChar"/>
    <w:qFormat/>
    <w:rPr>
      <w:rFonts w:ascii="Consolas" w:hAnsi="Consolas"/>
      <w:color w:val="4070A0"/>
      <w:sz w:val="22"/>
    </w:rPr>
  </w:style>
  <w:style w:type="character" w:customStyle="1" w:styleId="SpecialStringTok">
    <w:name w:val="SpecialStringTok"/>
    <w:basedOn w:val="VerbatimChar"/>
    <w:qFormat/>
    <w:rPr>
      <w:rFonts w:ascii="Consolas" w:hAnsi="Consolas"/>
      <w:color w:val="BB6688"/>
      <w:sz w:val="22"/>
    </w:rPr>
  </w:style>
  <w:style w:type="character" w:customStyle="1" w:styleId="ImportTok">
    <w:name w:val="ImportTok"/>
    <w:basedOn w:val="VerbatimChar"/>
    <w:qFormat/>
    <w:rPr>
      <w:rFonts w:ascii="Consolas" w:hAnsi="Consolas"/>
      <w:b/>
      <w:color w:val="008000"/>
      <w:sz w:val="22"/>
    </w:rPr>
  </w:style>
  <w:style w:type="character" w:customStyle="1" w:styleId="CommentTok">
    <w:name w:val="CommentTok"/>
    <w:basedOn w:val="VerbatimChar"/>
    <w:qFormat/>
    <w:rPr>
      <w:rFonts w:ascii="Consolas" w:hAnsi="Consolas"/>
      <w:i/>
      <w:color w:val="60A0B0"/>
      <w:sz w:val="22"/>
    </w:rPr>
  </w:style>
  <w:style w:type="character" w:customStyle="1" w:styleId="DocumentationTok">
    <w:name w:val="DocumentationTok"/>
    <w:basedOn w:val="VerbatimChar"/>
    <w:qFormat/>
    <w:rPr>
      <w:rFonts w:ascii="Consolas" w:hAnsi="Consolas"/>
      <w:i/>
      <w:color w:val="BA2121"/>
      <w:sz w:val="22"/>
    </w:rPr>
  </w:style>
  <w:style w:type="character" w:customStyle="1" w:styleId="AnnotationTok">
    <w:name w:val="AnnotationTok"/>
    <w:basedOn w:val="VerbatimChar"/>
    <w:qFormat/>
    <w:rPr>
      <w:rFonts w:ascii="Consolas" w:hAnsi="Consolas"/>
      <w:b/>
      <w:i/>
      <w:color w:val="60A0B0"/>
      <w:sz w:val="22"/>
    </w:rPr>
  </w:style>
  <w:style w:type="character" w:customStyle="1" w:styleId="CommentVarTok">
    <w:name w:val="CommentVarTok"/>
    <w:basedOn w:val="VerbatimChar"/>
    <w:qFormat/>
    <w:rPr>
      <w:rFonts w:ascii="Consolas" w:hAnsi="Consolas"/>
      <w:b/>
      <w:i/>
      <w:color w:val="60A0B0"/>
      <w:sz w:val="22"/>
    </w:rPr>
  </w:style>
  <w:style w:type="character" w:customStyle="1" w:styleId="OtherTok">
    <w:name w:val="OtherTok"/>
    <w:basedOn w:val="VerbatimChar"/>
    <w:qFormat/>
    <w:rPr>
      <w:rFonts w:ascii="Consolas" w:hAnsi="Consolas"/>
      <w:color w:val="007020"/>
      <w:sz w:val="22"/>
    </w:rPr>
  </w:style>
  <w:style w:type="character" w:customStyle="1" w:styleId="FunctionTok">
    <w:name w:val="FunctionTok"/>
    <w:basedOn w:val="VerbatimChar"/>
    <w:qFormat/>
    <w:rPr>
      <w:rFonts w:ascii="Consolas" w:hAnsi="Consolas"/>
      <w:color w:val="06287E"/>
      <w:sz w:val="22"/>
    </w:rPr>
  </w:style>
  <w:style w:type="character" w:customStyle="1" w:styleId="VariableTok">
    <w:name w:val="VariableTok"/>
    <w:basedOn w:val="VerbatimChar"/>
    <w:qFormat/>
    <w:rPr>
      <w:rFonts w:ascii="Consolas" w:hAnsi="Consolas"/>
      <w:color w:val="19177C"/>
      <w:sz w:val="22"/>
    </w:rPr>
  </w:style>
  <w:style w:type="character" w:customStyle="1" w:styleId="ControlFlowTok">
    <w:name w:val="ControlFlowTok"/>
    <w:basedOn w:val="VerbatimChar"/>
    <w:qFormat/>
    <w:rPr>
      <w:rFonts w:ascii="Consolas" w:hAnsi="Consolas"/>
      <w:b/>
      <w:color w:val="007020"/>
      <w:sz w:val="22"/>
    </w:rPr>
  </w:style>
  <w:style w:type="character" w:customStyle="1" w:styleId="OperatorTok">
    <w:name w:val="OperatorTok"/>
    <w:basedOn w:val="VerbatimChar"/>
    <w:qFormat/>
    <w:rPr>
      <w:rFonts w:ascii="Consolas" w:hAnsi="Consolas"/>
      <w:color w:val="666666"/>
      <w:sz w:val="22"/>
    </w:rPr>
  </w:style>
  <w:style w:type="character" w:customStyle="1" w:styleId="BuiltInTok">
    <w:name w:val="BuiltInTok"/>
    <w:basedOn w:val="VerbatimChar"/>
    <w:qFormat/>
    <w:rPr>
      <w:rFonts w:ascii="Consolas" w:hAnsi="Consolas"/>
      <w:color w:val="008000"/>
      <w:sz w:val="22"/>
    </w:rPr>
  </w:style>
  <w:style w:type="character" w:customStyle="1" w:styleId="ExtensionTok">
    <w:name w:val="ExtensionTok"/>
    <w:basedOn w:val="VerbatimChar"/>
    <w:qFormat/>
    <w:rPr>
      <w:rFonts w:ascii="Consolas" w:hAnsi="Consolas"/>
      <w:sz w:val="22"/>
    </w:rPr>
  </w:style>
  <w:style w:type="character" w:customStyle="1" w:styleId="PreprocessorTok">
    <w:name w:val="PreprocessorTok"/>
    <w:basedOn w:val="VerbatimChar"/>
    <w:qFormat/>
    <w:rPr>
      <w:rFonts w:ascii="Consolas" w:hAnsi="Consolas"/>
      <w:color w:val="BC7A00"/>
      <w:sz w:val="22"/>
    </w:rPr>
  </w:style>
  <w:style w:type="character" w:customStyle="1" w:styleId="AttributeTok">
    <w:name w:val="AttributeTok"/>
    <w:basedOn w:val="VerbatimChar"/>
    <w:qFormat/>
    <w:rPr>
      <w:rFonts w:ascii="Consolas" w:hAnsi="Consolas"/>
      <w:color w:val="7D9029"/>
      <w:sz w:val="22"/>
    </w:rPr>
  </w:style>
  <w:style w:type="character" w:customStyle="1" w:styleId="RegionMarkerTok">
    <w:name w:val="RegionMarkerTok"/>
    <w:basedOn w:val="VerbatimChar"/>
    <w:qFormat/>
    <w:rPr>
      <w:rFonts w:ascii="Consolas" w:hAnsi="Consolas"/>
      <w:sz w:val="22"/>
    </w:rPr>
  </w:style>
  <w:style w:type="character" w:customStyle="1" w:styleId="InformationTok">
    <w:name w:val="InformationTok"/>
    <w:basedOn w:val="VerbatimChar"/>
    <w:qFormat/>
    <w:rPr>
      <w:rFonts w:ascii="Consolas" w:hAnsi="Consolas"/>
      <w:b/>
      <w:i/>
      <w:color w:val="60A0B0"/>
      <w:sz w:val="22"/>
    </w:rPr>
  </w:style>
  <w:style w:type="character" w:customStyle="1" w:styleId="WarningTok">
    <w:name w:val="WarningTok"/>
    <w:basedOn w:val="VerbatimChar"/>
    <w:qFormat/>
    <w:rPr>
      <w:rFonts w:ascii="Consolas" w:hAnsi="Consolas"/>
      <w:b/>
      <w:i/>
      <w:color w:val="60A0B0"/>
      <w:sz w:val="22"/>
    </w:rPr>
  </w:style>
  <w:style w:type="character" w:customStyle="1" w:styleId="AlertTok">
    <w:name w:val="AlertTok"/>
    <w:basedOn w:val="VerbatimChar"/>
    <w:qFormat/>
    <w:rPr>
      <w:rFonts w:ascii="Consolas" w:hAnsi="Consolas"/>
      <w:b/>
      <w:color w:val="FF0000"/>
      <w:sz w:val="22"/>
    </w:rPr>
  </w:style>
  <w:style w:type="character" w:customStyle="1" w:styleId="ErrorTok">
    <w:name w:val="ErrorTok"/>
    <w:basedOn w:val="VerbatimChar"/>
    <w:qFormat/>
    <w:rPr>
      <w:rFonts w:ascii="Consolas" w:hAnsi="Consolas"/>
      <w:b/>
      <w:color w:val="FF0000"/>
      <w:sz w:val="22"/>
    </w:rPr>
  </w:style>
  <w:style w:type="character" w:customStyle="1" w:styleId="NormalTok">
    <w:name w:val="NormalTok"/>
    <w:basedOn w:val="VerbatimChar"/>
    <w:qFormat/>
    <w:rPr>
      <w:rFonts w:ascii="Consolas" w:hAnsi="Consolas"/>
      <w:sz w:val="22"/>
    </w:rPr>
  </w:style>
  <w:style w:type="paragraph" w:customStyle="1" w:styleId="Heading">
    <w:name w:val="Heading"/>
    <w:basedOn w:val="a"/>
    <w:next w:val="a0"/>
    <w:qFormat/>
    <w:pPr>
      <w:keepNext/>
      <w:spacing w:before="240" w:after="120"/>
    </w:pPr>
    <w:rPr>
      <w:rFonts w:ascii="Noto Serif" w:eastAsia="Noto Sans CJK SC" w:hAnsi="Noto Serif" w:cs="Noto Sans Devanagari"/>
      <w:sz w:val="28"/>
      <w:szCs w:val="28"/>
    </w:rPr>
  </w:style>
  <w:style w:type="paragraph" w:styleId="a0">
    <w:name w:val="Body Text"/>
    <w:basedOn w:val="a"/>
    <w:qFormat/>
    <w:pPr>
      <w:spacing w:before="180" w:after="180"/>
    </w:pPr>
  </w:style>
  <w:style w:type="paragraph" w:styleId="a8">
    <w:name w:val="List"/>
    <w:basedOn w:val="a0"/>
    <w:rPr>
      <w:rFonts w:cs="Noto Sans Devanagari"/>
    </w:rPr>
  </w:style>
  <w:style w:type="paragraph" w:styleId="a6">
    <w:name w:val="caption"/>
    <w:basedOn w:val="a"/>
    <w:link w:val="Char1"/>
    <w:qFormat/>
    <w:pPr>
      <w:spacing w:after="120"/>
    </w:pPr>
    <w:rPr>
      <w:i/>
    </w:rPr>
  </w:style>
  <w:style w:type="paragraph" w:customStyle="1" w:styleId="Index">
    <w:name w:val="Index"/>
    <w:basedOn w:val="a"/>
    <w:qFormat/>
    <w:pPr>
      <w:suppressLineNumbers/>
    </w:pPr>
    <w:rPr>
      <w:rFonts w:cs="Noto Sans Devanagari"/>
    </w:r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Char"/>
    <w:uiPriority w:val="10"/>
    <w:qFormat/>
    <w:rsid w:val="00A10FD9"/>
    <w:pPr>
      <w:spacing w:after="80"/>
      <w:contextualSpacing/>
      <w:jc w:val="center"/>
    </w:pPr>
    <w:rPr>
      <w:rFonts w:asciiTheme="majorHAnsi" w:eastAsiaTheme="majorEastAsia" w:hAnsiTheme="majorHAnsi" w:cstheme="majorBidi"/>
      <w:spacing w:val="-10"/>
      <w:kern w:val="2"/>
      <w:sz w:val="56"/>
      <w:szCs w:val="56"/>
    </w:rPr>
  </w:style>
  <w:style w:type="paragraph" w:styleId="a5">
    <w:name w:val="Subtitle"/>
    <w:basedOn w:val="a4"/>
    <w:next w:val="a0"/>
    <w:link w:val="Char0"/>
    <w:uiPriority w:val="11"/>
    <w:qFormat/>
    <w:rsid w:val="00A10FD9"/>
    <w:rPr>
      <w:spacing w:val="15"/>
      <w:sz w:val="28"/>
      <w:szCs w:val="28"/>
    </w:rPr>
  </w:style>
  <w:style w:type="paragraph" w:customStyle="1" w:styleId="Author">
    <w:name w:val="Author"/>
    <w:next w:val="a0"/>
    <w:qFormat/>
    <w:pPr>
      <w:keepNext/>
      <w:keepLines/>
      <w:spacing w:after="200"/>
      <w:jc w:val="center"/>
    </w:pPr>
  </w:style>
  <w:style w:type="paragraph" w:styleId="a9">
    <w:name w:val="Date"/>
    <w:next w:val="a0"/>
    <w:qFormat/>
    <w:pPr>
      <w:keepNext/>
      <w:keepLines/>
      <w:spacing w:after="200"/>
      <w:jc w:val="center"/>
    </w:pPr>
  </w:style>
  <w:style w:type="paragraph" w:customStyle="1" w:styleId="AbstractTitle">
    <w:name w:val="Abstract Title"/>
    <w:basedOn w:val="a"/>
    <w:next w:val="Abstract"/>
    <w:qFormat/>
    <w:pPr>
      <w:keepNext/>
      <w:keepLines/>
      <w:spacing w:before="300" w:after="0"/>
      <w:jc w:val="center"/>
    </w:pPr>
    <w:rPr>
      <w:b/>
      <w:szCs w:val="20"/>
    </w:rPr>
  </w:style>
  <w:style w:type="paragraph" w:customStyle="1" w:styleId="Abstract">
    <w:name w:val="Abstract"/>
    <w:basedOn w:val="a"/>
    <w:next w:val="a0"/>
    <w:qFormat/>
    <w:pPr>
      <w:keepNext/>
      <w:keepLines/>
      <w:spacing w:before="100" w:after="300"/>
    </w:pPr>
    <w:rPr>
      <w:szCs w:val="20"/>
    </w:rPr>
  </w:style>
  <w:style w:type="paragraph" w:styleId="aa">
    <w:name w:val="Bibliography"/>
    <w:basedOn w:val="a"/>
    <w:qFormat/>
  </w:style>
  <w:style w:type="paragraph" w:styleId="ab">
    <w:name w:val="Block Text"/>
    <w:basedOn w:val="a0"/>
    <w:next w:val="a0"/>
    <w:uiPriority w:val="9"/>
    <w:unhideWhenUsed/>
    <w:qFormat/>
    <w:pPr>
      <w:spacing w:before="100" w:after="100"/>
      <w:ind w:left="480" w:right="480"/>
    </w:pPr>
  </w:style>
  <w:style w:type="paragraph" w:styleId="ac">
    <w:name w:val="footnote text"/>
    <w:basedOn w:val="a"/>
    <w:uiPriority w:val="9"/>
    <w:unhideWhenUsed/>
    <w:qFormat/>
  </w:style>
  <w:style w:type="paragraph" w:customStyle="1" w:styleId="FootnoteBlockText">
    <w:name w:val="Footnote Block Text"/>
    <w:basedOn w:val="ac"/>
    <w:next w:val="ac"/>
    <w:uiPriority w:val="9"/>
    <w:unhideWhenUsed/>
    <w:qFormat/>
    <w:pPr>
      <w:spacing w:before="100" w:after="100"/>
      <w:ind w:left="480" w:right="480"/>
    </w:pPr>
  </w:style>
  <w:style w:type="paragraph" w:customStyle="1" w:styleId="DefinitionTerm">
    <w:name w:val="Definition Term"/>
    <w:basedOn w:val="a"/>
    <w:next w:val="Definition"/>
    <w:qFormat/>
    <w:pPr>
      <w:keepNext/>
      <w:keepLines/>
      <w:spacing w:after="0"/>
    </w:pPr>
    <w:rPr>
      <w:b/>
    </w:rPr>
  </w:style>
  <w:style w:type="paragraph" w:customStyle="1" w:styleId="Definition">
    <w:name w:val="Definition"/>
    <w:basedOn w:val="a"/>
    <w:qFormat/>
  </w:style>
  <w:style w:type="paragraph" w:customStyle="1" w:styleId="TableCaption">
    <w:name w:val="Table Caption"/>
    <w:basedOn w:val="a6"/>
    <w:qFormat/>
    <w:pPr>
      <w:keepNext/>
    </w:pPr>
  </w:style>
  <w:style w:type="paragraph" w:customStyle="1" w:styleId="ImageCaption">
    <w:name w:val="Image Caption"/>
    <w:basedOn w:val="a6"/>
    <w:qFormat/>
  </w:style>
  <w:style w:type="paragraph" w:customStyle="1" w:styleId="Figure">
    <w:name w:val="Figure"/>
    <w:basedOn w:val="a"/>
    <w:qFormat/>
  </w:style>
  <w:style w:type="paragraph" w:customStyle="1" w:styleId="CaptionedFigure">
    <w:name w:val="Captioned Figure"/>
    <w:basedOn w:val="Figure"/>
    <w:qFormat/>
    <w:pPr>
      <w:keepNext/>
    </w:pPr>
  </w:style>
  <w:style w:type="paragraph" w:styleId="ad">
    <w:name w:val="index heading"/>
    <w:basedOn w:val="Heading"/>
  </w:style>
  <w:style w:type="paragraph" w:styleId="ae">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qFormat/>
  </w:style>
  <w:style w:type="table" w:customStyle="1" w:styleId="Table">
    <w:name w:val="Table"/>
    <w:semiHidden/>
    <w:unhideWhenUsed/>
    <w:qFormat/>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normal1">
    <w:name w:val="normal1"/>
    <w:qFormat/>
    <w:rsid w:val="0004793B"/>
    <w:rPr>
      <w:rFonts w:ascii="Times New Roman" w:eastAsia="Noto Serif CJK SC" w:hAnsi="Times New Roman" w:cs="Arial Unicode MS"/>
      <w:lang w:eastAsia="zh-CN" w:bidi="hi-IN"/>
    </w:rPr>
  </w:style>
  <w:style w:type="character" w:styleId="af">
    <w:name w:val="Unresolved Mention"/>
    <w:basedOn w:val="a1"/>
    <w:uiPriority w:val="99"/>
    <w:semiHidden/>
    <w:unhideWhenUsed/>
    <w:rsid w:val="000479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ratologia.gr/" TargetMode="External"/><Relationship Id="rId3" Type="http://schemas.openxmlformats.org/officeDocument/2006/relationships/settings" Target="settings.xml"/><Relationship Id="rId7" Type="http://schemas.openxmlformats.org/officeDocument/2006/relationships/hyperlink" Target="https://www.synigoros.gr/api/files/download/54008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ynigoros.gr/api/files/download/593377" TargetMode="External"/><Relationship Id="rId11" Type="http://schemas.openxmlformats.org/officeDocument/2006/relationships/fontTable" Target="fontTable.xml"/><Relationship Id="rId5" Type="http://schemas.openxmlformats.org/officeDocument/2006/relationships/hyperlink" Target="https://www.synigoros.gr/api/files/download/628106" TargetMode="External"/><Relationship Id="rId10" Type="http://schemas.openxmlformats.org/officeDocument/2006/relationships/hyperlink" Target="https://migration.gov.gr/appeals/" TargetMode="External"/><Relationship Id="rId4" Type="http://schemas.openxmlformats.org/officeDocument/2006/relationships/webSettings" Target="webSettings.xml"/><Relationship Id="rId9" Type="http://schemas.openxmlformats.org/officeDocument/2006/relationships/hyperlink" Target="https://migration.gov.gr/gas/"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986</Words>
  <Characters>5330</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Tsapogas Michalis</dc:creator>
  <cp:keywords/>
  <cp:lastModifiedBy>Tsapogas Michalis</cp:lastModifiedBy>
  <cp:revision>6</cp:revision>
  <dcterms:created xsi:type="dcterms:W3CDTF">2026-01-29T11:08:00Z</dcterms:created>
  <dcterms:modified xsi:type="dcterms:W3CDTF">2026-01-29T11:50:00Z</dcterms:modified>
</cp:coreProperties>
</file>