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462" w:rsidRPr="00F259E5" w:rsidRDefault="008C767A">
      <w:pPr>
        <w:rPr>
          <w:b/>
          <w:sz w:val="24"/>
          <w:szCs w:val="24"/>
        </w:rPr>
      </w:pPr>
      <w:r w:rsidRPr="00F259E5">
        <w:rPr>
          <w:b/>
          <w:sz w:val="24"/>
          <w:szCs w:val="24"/>
        </w:rPr>
        <w:t>Hearing PE sous-commission DH   2/3/2023</w:t>
      </w:r>
    </w:p>
    <w:p w:rsidR="008C767A" w:rsidRPr="00F259E5" w:rsidRDefault="0051270E">
      <w:pPr>
        <w:rPr>
          <w:b/>
          <w:sz w:val="24"/>
          <w:szCs w:val="24"/>
        </w:rPr>
      </w:pPr>
      <w:r w:rsidRPr="00F259E5">
        <w:rPr>
          <w:b/>
          <w:sz w:val="24"/>
          <w:szCs w:val="24"/>
        </w:rPr>
        <w:t xml:space="preserve">Intervention de Sam </w:t>
      </w:r>
      <w:r w:rsidR="00F20465">
        <w:rPr>
          <w:b/>
          <w:sz w:val="24"/>
          <w:szCs w:val="24"/>
        </w:rPr>
        <w:t>Biesemans, vice-président du BEO</w:t>
      </w:r>
      <w:r w:rsidRPr="00F259E5">
        <w:rPr>
          <w:b/>
          <w:sz w:val="24"/>
          <w:szCs w:val="24"/>
        </w:rPr>
        <w:t>C</w:t>
      </w:r>
    </w:p>
    <w:p w:rsidR="0051270E" w:rsidRPr="00F259E5" w:rsidRDefault="0051270E">
      <w:pPr>
        <w:rPr>
          <w:sz w:val="24"/>
          <w:szCs w:val="24"/>
        </w:rPr>
      </w:pPr>
    </w:p>
    <w:p w:rsidR="008C767A" w:rsidRPr="00F259E5" w:rsidRDefault="008C767A">
      <w:pPr>
        <w:rPr>
          <w:sz w:val="24"/>
          <w:szCs w:val="24"/>
        </w:rPr>
      </w:pPr>
      <w:r w:rsidRPr="00F259E5">
        <w:rPr>
          <w:sz w:val="24"/>
          <w:szCs w:val="24"/>
        </w:rPr>
        <w:t>Le BEOC est une association internationale regroupant des ONG internationales et ONG nationales pour promouvoir le droit à l’OC. Il publie un rapport annuel qui fait le point sur la situation en Europe, publié sur le site web du BEOC.</w:t>
      </w:r>
    </w:p>
    <w:p w:rsidR="008C767A" w:rsidRPr="00F259E5" w:rsidRDefault="008C767A">
      <w:pPr>
        <w:rPr>
          <w:sz w:val="24"/>
          <w:szCs w:val="24"/>
        </w:rPr>
      </w:pPr>
      <w:r w:rsidRPr="00F259E5">
        <w:rPr>
          <w:sz w:val="24"/>
          <w:szCs w:val="24"/>
        </w:rPr>
        <w:t>Le Conseil de l’Europe, avec ses 45 Etats membres actuels, a été le précurseur pour promouvoir ce droit dans toute l’Europe, grâce au rapport et résolution de son Assemblée parlementaire en 1967, suivi par une recommandation du Conseil des Ministres en 1987.</w:t>
      </w:r>
    </w:p>
    <w:p w:rsidR="008C767A" w:rsidRPr="00F259E5" w:rsidRDefault="008C767A">
      <w:pPr>
        <w:rPr>
          <w:sz w:val="24"/>
          <w:szCs w:val="24"/>
        </w:rPr>
      </w:pPr>
      <w:r w:rsidRPr="00F259E5">
        <w:rPr>
          <w:sz w:val="24"/>
          <w:szCs w:val="24"/>
        </w:rPr>
        <w:t xml:space="preserve">La Cour européenne des Droits de l’homme un rôle important pour la protection de ce droit. Dommage que la Russie ne fait plus partie du Conseil de l’Europe depuis 2022, car </w:t>
      </w:r>
      <w:r w:rsidR="0051270E" w:rsidRPr="00F259E5">
        <w:rPr>
          <w:sz w:val="24"/>
          <w:szCs w:val="24"/>
        </w:rPr>
        <w:t>la Russie</w:t>
      </w:r>
      <w:r w:rsidRPr="00F259E5">
        <w:rPr>
          <w:sz w:val="24"/>
          <w:szCs w:val="24"/>
        </w:rPr>
        <w:t xml:space="preserve"> échappe ainsi à la compétence de cette Cour.</w:t>
      </w:r>
    </w:p>
    <w:p w:rsidR="00F01231" w:rsidRPr="00F259E5" w:rsidRDefault="00F01231">
      <w:pPr>
        <w:rPr>
          <w:b/>
          <w:sz w:val="24"/>
          <w:szCs w:val="24"/>
        </w:rPr>
      </w:pPr>
      <w:r w:rsidRPr="00F259E5">
        <w:rPr>
          <w:b/>
          <w:sz w:val="24"/>
          <w:szCs w:val="24"/>
        </w:rPr>
        <w:t xml:space="preserve">L’UE des 27 </w:t>
      </w:r>
    </w:p>
    <w:p w:rsidR="00F01231" w:rsidRPr="00F259E5" w:rsidRDefault="00F01231">
      <w:pPr>
        <w:rPr>
          <w:sz w:val="24"/>
          <w:szCs w:val="24"/>
        </w:rPr>
      </w:pPr>
      <w:r w:rsidRPr="00F259E5">
        <w:rPr>
          <w:sz w:val="24"/>
          <w:szCs w:val="24"/>
        </w:rPr>
        <w:t>PE : 3 rapports</w:t>
      </w:r>
      <w:r w:rsidR="00C23B2B" w:rsidRPr="00F259E5">
        <w:rPr>
          <w:sz w:val="24"/>
          <w:szCs w:val="24"/>
        </w:rPr>
        <w:t xml:space="preserve"> importants</w:t>
      </w:r>
      <w:r w:rsidRPr="00F259E5">
        <w:rPr>
          <w:sz w:val="24"/>
          <w:szCs w:val="24"/>
        </w:rPr>
        <w:t xml:space="preserve"> et résolutions sur l’OC : Macciochi en 1983 ; </w:t>
      </w:r>
      <w:r w:rsidR="00C23B2B" w:rsidRPr="00F259E5">
        <w:rPr>
          <w:sz w:val="24"/>
          <w:szCs w:val="24"/>
        </w:rPr>
        <w:t>Schmidbauer 1989 ;</w:t>
      </w:r>
      <w:r w:rsidR="00FD64A6" w:rsidRPr="00F259E5">
        <w:rPr>
          <w:sz w:val="24"/>
          <w:szCs w:val="24"/>
        </w:rPr>
        <w:t xml:space="preserve"> Bandrès Mollet &amp; Bindi en 199</w:t>
      </w:r>
      <w:r w:rsidR="00C23B2B" w:rsidRPr="00F259E5">
        <w:rPr>
          <w:sz w:val="24"/>
          <w:szCs w:val="24"/>
        </w:rPr>
        <w:t>4</w:t>
      </w:r>
      <w:r w:rsidR="00D06E73" w:rsidRPr="00F259E5">
        <w:rPr>
          <w:sz w:val="24"/>
          <w:szCs w:val="24"/>
        </w:rPr>
        <w:t>.</w:t>
      </w:r>
    </w:p>
    <w:p w:rsidR="00D06E73" w:rsidRPr="00F259E5" w:rsidRDefault="00D06E73">
      <w:pPr>
        <w:rPr>
          <w:sz w:val="24"/>
          <w:szCs w:val="24"/>
        </w:rPr>
      </w:pPr>
      <w:r w:rsidRPr="00F259E5">
        <w:rPr>
          <w:sz w:val="24"/>
          <w:szCs w:val="24"/>
        </w:rPr>
        <w:t>Le PE va plus loin dans la façon dont le droit à l’OC doit être appliqué.</w:t>
      </w:r>
    </w:p>
    <w:p w:rsidR="00D06E73" w:rsidRPr="00F259E5" w:rsidRDefault="00D06E73">
      <w:pPr>
        <w:rPr>
          <w:sz w:val="24"/>
          <w:szCs w:val="24"/>
        </w:rPr>
      </w:pPr>
      <w:r w:rsidRPr="00F259E5">
        <w:rPr>
          <w:sz w:val="24"/>
          <w:szCs w:val="24"/>
        </w:rPr>
        <w:t>Le PE contribue à faire inscrire ce droit dans la Charte des Droits fondamentaux de l’UE de 2012 :</w:t>
      </w:r>
    </w:p>
    <w:p w:rsidR="00D06E73" w:rsidRPr="00F259E5" w:rsidRDefault="00D06E73">
      <w:pPr>
        <w:rPr>
          <w:sz w:val="24"/>
          <w:szCs w:val="24"/>
        </w:rPr>
      </w:pPr>
      <w:r w:rsidRPr="00F259E5">
        <w:rPr>
          <w:sz w:val="24"/>
          <w:szCs w:val="24"/>
        </w:rPr>
        <w:t>Art.10 porte sur la Liberté de pensée, de conscience et de religion ; le point 2 mentionne « Le droit à l’OC est reconnu selon les lois nationales qui en régissent l’exercice ». Trop vague et permet des législations peu conformes aux résolutions du PE.</w:t>
      </w:r>
    </w:p>
    <w:p w:rsidR="00510995" w:rsidRPr="00F259E5" w:rsidRDefault="00510995">
      <w:pPr>
        <w:rPr>
          <w:sz w:val="24"/>
          <w:szCs w:val="24"/>
        </w:rPr>
      </w:pPr>
      <w:r w:rsidRPr="00F259E5">
        <w:rPr>
          <w:sz w:val="24"/>
          <w:szCs w:val="24"/>
        </w:rPr>
        <w:t>Le fait que le droit à l’OC fait partie du Traité UE est que chaque Etat candidat à l’adhésion doit démontrer avoir une législation en la matière.</w:t>
      </w:r>
    </w:p>
    <w:p w:rsidR="00FD64A6" w:rsidRPr="00F259E5" w:rsidRDefault="00FD64A6">
      <w:pPr>
        <w:rPr>
          <w:sz w:val="24"/>
          <w:szCs w:val="24"/>
        </w:rPr>
      </w:pPr>
      <w:r w:rsidRPr="00F259E5">
        <w:rPr>
          <w:sz w:val="24"/>
          <w:szCs w:val="24"/>
        </w:rPr>
        <w:t>N’est-il pas temps pou un nouveau rapport et résolution du PE presque 30 ans après la dernière qui date de 1994 ; l’Europe a changé depuis lors.</w:t>
      </w:r>
    </w:p>
    <w:p w:rsidR="00FD64A6" w:rsidRPr="00F259E5" w:rsidRDefault="00F259E5">
      <w:pPr>
        <w:rPr>
          <w:sz w:val="24"/>
          <w:szCs w:val="24"/>
        </w:rPr>
      </w:pPr>
      <w:r w:rsidRPr="00F259E5">
        <w:rPr>
          <w:sz w:val="24"/>
          <w:szCs w:val="24"/>
        </w:rPr>
        <w:t>Enfin, pour l’actualité immédiate</w:t>
      </w:r>
      <w:r w:rsidR="004D57AF">
        <w:rPr>
          <w:sz w:val="24"/>
          <w:szCs w:val="24"/>
        </w:rPr>
        <w:t>, 2 points</w:t>
      </w:r>
      <w:r w:rsidRPr="00F259E5">
        <w:rPr>
          <w:sz w:val="24"/>
          <w:szCs w:val="24"/>
        </w:rPr>
        <w:t> :</w:t>
      </w:r>
    </w:p>
    <w:p w:rsidR="004D57AF" w:rsidRDefault="00F259E5">
      <w:pPr>
        <w:rPr>
          <w:sz w:val="24"/>
          <w:szCs w:val="24"/>
        </w:rPr>
      </w:pPr>
      <w:r w:rsidRPr="00F259E5">
        <w:rPr>
          <w:sz w:val="24"/>
          <w:szCs w:val="24"/>
        </w:rPr>
        <w:t>L’agression russe en Ukraine et l’état de guerre a porté l’Ukraine à supprimer le droit à l’OC. Conséquence</w:t>
      </w:r>
      <w:r>
        <w:rPr>
          <w:sz w:val="24"/>
          <w:szCs w:val="24"/>
        </w:rPr>
        <w:t xml:space="preserve"> : emprisonnement d’un OC </w:t>
      </w:r>
      <w:r w:rsidR="004D57AF">
        <w:rPr>
          <w:sz w:val="24"/>
          <w:szCs w:val="24"/>
        </w:rPr>
        <w:t>le 23 février 2023 ; Vitaly Alkesseenko (46) à un an de prison. Ce prisonnier de conscience doit être relâché au plus vite.</w:t>
      </w:r>
    </w:p>
    <w:p w:rsidR="008C767A" w:rsidRPr="00F259E5" w:rsidRDefault="004D57AF">
      <w:pPr>
        <w:rPr>
          <w:sz w:val="24"/>
          <w:szCs w:val="24"/>
        </w:rPr>
      </w:pPr>
      <w:r>
        <w:rPr>
          <w:sz w:val="24"/>
          <w:szCs w:val="24"/>
        </w:rPr>
        <w:t xml:space="preserve">Campagne européenne « Object War Campaign » concernant la Russie, Bélarus et Ukraine, demande de protection et asile UE pour les déserteurs et OC. Campagne soutenue par 100 ONG </w:t>
      </w:r>
      <w:r w:rsidR="00D24E14">
        <w:rPr>
          <w:sz w:val="24"/>
          <w:szCs w:val="24"/>
        </w:rPr>
        <w:t xml:space="preserve">jusque mai 2023, </w:t>
      </w:r>
      <w:r>
        <w:rPr>
          <w:sz w:val="24"/>
          <w:szCs w:val="24"/>
        </w:rPr>
        <w:t>avec déjà 10.000 signatures aujourd’hui.</w:t>
      </w:r>
    </w:p>
    <w:sectPr w:rsidR="008C767A" w:rsidRPr="00F259E5" w:rsidSect="003E246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C767A"/>
    <w:rsid w:val="003E2462"/>
    <w:rsid w:val="004D57AF"/>
    <w:rsid w:val="00510995"/>
    <w:rsid w:val="0051270E"/>
    <w:rsid w:val="008C767A"/>
    <w:rsid w:val="00B75962"/>
    <w:rsid w:val="00C23B2B"/>
    <w:rsid w:val="00D06E73"/>
    <w:rsid w:val="00D24E14"/>
    <w:rsid w:val="00DD6ED5"/>
    <w:rsid w:val="00F01231"/>
    <w:rsid w:val="00F20465"/>
    <w:rsid w:val="00F259E5"/>
    <w:rsid w:val="00FD64A6"/>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46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340</Words>
  <Characters>1871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10</cp:revision>
  <dcterms:created xsi:type="dcterms:W3CDTF">2023-03-02T06:34:00Z</dcterms:created>
  <dcterms:modified xsi:type="dcterms:W3CDTF">2023-03-02T07:30:00Z</dcterms:modified>
</cp:coreProperties>
</file>