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i w:val="0"/>
          <w:smallCaps w:val="0"/>
          <w:strike w:val="0"/>
          <w:color w:val="000000"/>
          <w:sz w:val="36"/>
          <w:szCs w:val="36"/>
          <w:u w:val="none"/>
          <w:shd w:fill="auto" w:val="clear"/>
          <w:vertAlign w:val="baseline"/>
        </w:rPr>
        <w:drawing>
          <wp:anchor allowOverlap="1" behindDoc="0" distB="0" distT="0" distL="0" distR="0" hidden="0" layoutInCell="1" locked="0" relativeHeight="0" simplePos="0">
            <wp:simplePos x="0" y="0"/>
            <wp:positionH relativeFrom="page">
              <wp:posOffset>540385</wp:posOffset>
            </wp:positionH>
            <wp:positionV relativeFrom="page">
              <wp:posOffset>426720</wp:posOffset>
            </wp:positionV>
            <wp:extent cx="304800" cy="981075"/>
            <wp:effectExtent b="0" l="0" r="0" t="0"/>
            <wp:wrapNone/>
            <wp:docPr id="8"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304800" cy="981075"/>
                    </a:xfrm>
                    <a:prstGeom prst="rect"/>
                    <a:ln/>
                  </pic:spPr>
                </pic:pic>
              </a:graphicData>
            </a:graphic>
          </wp:anchor>
        </w:drawing>
      </w:r>
      <w:r w:rsidDel="00000000" w:rsidR="00000000" w:rsidRPr="00000000">
        <w:rPr>
          <w:rFonts w:ascii="Verdana" w:cs="Verdana" w:eastAsia="Verdana" w:hAnsi="Verdana"/>
          <w:b w:val="1"/>
          <w:i w:val="0"/>
          <w:smallCaps w:val="0"/>
          <w:strike w:val="0"/>
          <w:color w:val="000000"/>
          <w:sz w:val="36"/>
          <w:szCs w:val="36"/>
          <w:u w:val="none"/>
          <w:shd w:fill="auto" w:val="clear"/>
          <w:vertAlign w:val="baseline"/>
          <w:rtl w:val="0"/>
        </w:rPr>
        <w:t xml:space="preserve">European Bureau for</w:t>
        <w:br w:type="textWrapping"/>
        <w:t xml:space="preserve">Conscientious Objection</w:t>
      </w:r>
      <w:r w:rsidDel="00000000" w:rsidR="00000000" w:rsidRPr="00000000">
        <w:rPr>
          <w:rtl w:val="0"/>
        </w:rPr>
      </w:r>
      <w:r w:rsidDel="00000000" w:rsidR="00000000" w:rsidRPr="00000000">
        <w:drawing>
          <wp:anchor allowOverlap="1" behindDoc="0" distB="0" distT="0" distL="114935" distR="114935" hidden="0" layoutInCell="1" locked="0" relativeHeight="0" simplePos="0">
            <wp:simplePos x="0" y="0"/>
            <wp:positionH relativeFrom="column">
              <wp:posOffset>5498465</wp:posOffset>
            </wp:positionH>
            <wp:positionV relativeFrom="paragraph">
              <wp:posOffset>635</wp:posOffset>
            </wp:positionV>
            <wp:extent cx="984885" cy="969645"/>
            <wp:effectExtent b="0" l="0" r="0" t="0"/>
            <wp:wrapSquare wrapText="bothSides" distB="0" distT="0" distL="114935" distR="114935"/>
            <wp:docPr id="7" name="image1.jpg"/>
            <a:graphic>
              <a:graphicData uri="http://schemas.openxmlformats.org/drawingml/2006/picture">
                <pic:pic>
                  <pic:nvPicPr>
                    <pic:cNvPr id="0" name="image1.jpg"/>
                    <pic:cNvPicPr preferRelativeResize="0"/>
                  </pic:nvPicPr>
                  <pic:blipFill>
                    <a:blip r:embed="rId8"/>
                    <a:srcRect b="-35" l="-36" r="-35" t="-36"/>
                    <a:stretch>
                      <a:fillRect/>
                    </a:stretch>
                  </pic:blipFill>
                  <pic:spPr>
                    <a:xfrm>
                      <a:off x="0" y="0"/>
                      <a:ext cx="984885" cy="969645"/>
                    </a:xfrm>
                    <a:prstGeom prst="rect"/>
                    <a:ln/>
                  </pic:spPr>
                </pic:pic>
              </a:graphicData>
            </a:graphic>
          </wp:anchor>
        </w:drawing>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35 Van Elewyck street, 1050 Brussels, Belgium</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i w:val="0"/>
          <w:smallCaps w:val="0"/>
          <w:strike w:val="0"/>
          <w:color w:val="0000ff"/>
          <w:sz w:val="24"/>
          <w:szCs w:val="24"/>
          <w:u w:val="none"/>
          <w:shd w:fill="auto" w:val="clear"/>
          <w:vertAlign w:val="baseline"/>
        </w:rPr>
      </w:pPr>
      <w:hyperlink r:id="rId9">
        <w:r w:rsidDel="00000000" w:rsidR="00000000" w:rsidRPr="00000000">
          <w:rPr>
            <w:rFonts w:ascii="Verdana" w:cs="Verdana" w:eastAsia="Verdana" w:hAnsi="Verdana"/>
            <w:b w:val="0"/>
            <w:i w:val="0"/>
            <w:smallCaps w:val="0"/>
            <w:strike w:val="0"/>
            <w:color w:val="0000ff"/>
            <w:sz w:val="18"/>
            <w:szCs w:val="18"/>
            <w:u w:val="none"/>
            <w:shd w:fill="auto" w:val="clear"/>
            <w:vertAlign w:val="baseline"/>
            <w:rtl w:val="0"/>
          </w:rPr>
          <w:t xml:space="preserve">www.ebco-beoc.org</w:t>
        </w:r>
      </w:hyperlink>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 / </w:t>
      </w:r>
      <w:hyperlink r:id="rId10">
        <w:r w:rsidDel="00000000" w:rsidR="00000000" w:rsidRPr="00000000">
          <w:rPr>
            <w:rFonts w:ascii="Verdana" w:cs="Verdana" w:eastAsia="Verdana" w:hAnsi="Verdana"/>
            <w:b w:val="0"/>
            <w:i w:val="0"/>
            <w:smallCaps w:val="0"/>
            <w:strike w:val="0"/>
            <w:color w:val="0000ff"/>
            <w:sz w:val="18"/>
            <w:szCs w:val="18"/>
            <w:u w:val="none"/>
            <w:shd w:fill="auto" w:val="clear"/>
            <w:vertAlign w:val="baseline"/>
            <w:rtl w:val="0"/>
          </w:rPr>
          <w:t xml:space="preserve">ebco@ebco-beoc.org</w:t>
        </w:r>
      </w:hyperlink>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 / </w:t>
      </w:r>
      <w:r w:rsidDel="00000000" w:rsidR="00000000" w:rsidRPr="00000000">
        <w:rPr>
          <w:rFonts w:ascii="Verdana" w:cs="Verdana" w:eastAsia="Verdana" w:hAnsi="Verdana"/>
          <w:b w:val="0"/>
          <w:i w:val="0"/>
          <w:smallCaps w:val="0"/>
          <w:strike w:val="0"/>
          <w:color w:val="0000ff"/>
          <w:sz w:val="18"/>
          <w:szCs w:val="18"/>
          <w:u w:val="none"/>
          <w:shd w:fill="auto" w:val="clear"/>
          <w:vertAlign w:val="baseline"/>
          <w:rtl w:val="0"/>
        </w:rPr>
        <w:t xml:space="preserve">@ebcobeoc</w:t>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0</wp:posOffset>
                </wp:positionH>
                <wp:positionV relativeFrom="paragraph">
                  <wp:posOffset>203200</wp:posOffset>
                </wp:positionV>
                <wp:extent cx="6498590" cy="38100"/>
                <wp:effectExtent b="0" l="0" r="0" t="0"/>
                <wp:wrapNone/>
                <wp:docPr id="5" name=""/>
                <a:graphic>
                  <a:graphicData uri="http://schemas.microsoft.com/office/word/2010/wordprocessingShape">
                    <wps:wsp>
                      <wps:cNvSpPr/>
                      <wps:cNvPr id="2" name="Shape 2"/>
                      <wps:spPr>
                        <a:xfrm>
                          <a:off x="2101500" y="3765780"/>
                          <a:ext cx="6489000" cy="28440"/>
                        </a:xfrm>
                        <a:prstGeom prst="rect">
                          <a:avLst/>
                        </a:prstGeom>
                        <a:solidFill>
                          <a:srgbClr val="ACA899"/>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0" lIns="91425" spcFirstLastPara="1" rIns="91425"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0</wp:posOffset>
                </wp:positionH>
                <wp:positionV relativeFrom="paragraph">
                  <wp:posOffset>203200</wp:posOffset>
                </wp:positionV>
                <wp:extent cx="6498590" cy="38100"/>
                <wp:effectExtent b="0" l="0" r="0" t="0"/>
                <wp:wrapNone/>
                <wp:docPr id="5" name="image3.png"/>
                <a:graphic>
                  <a:graphicData uri="http://schemas.openxmlformats.org/drawingml/2006/picture">
                    <pic:pic>
                      <pic:nvPicPr>
                        <pic:cNvPr id="0" name="image3.png"/>
                        <pic:cNvPicPr preferRelativeResize="0"/>
                      </pic:nvPicPr>
                      <pic:blipFill>
                        <a:blip r:embed="rId11"/>
                        <a:srcRect/>
                        <a:stretch>
                          <a:fillRect/>
                        </a:stretch>
                      </pic:blipFill>
                      <pic:spPr>
                        <a:xfrm>
                          <a:off x="0" y="0"/>
                          <a:ext cx="6498590" cy="38100"/>
                        </a:xfrm>
                        <a:prstGeom prst="rect"/>
                        <a:ln/>
                      </pic:spPr>
                    </pic:pic>
                  </a:graphicData>
                </a:graphic>
              </wp:anchor>
            </w:drawing>
          </mc:Fallback>
        </mc:AlternateConten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120" w:line="240" w:lineRule="auto"/>
        <w:ind w:left="0" w:right="0"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24"/>
          <w:szCs w:val="24"/>
          <w:u w:val="single"/>
          <w:shd w:fill="auto" w:val="clear"/>
          <w:vertAlign w:val="baseline"/>
          <w:rtl w:val="0"/>
        </w:rPr>
        <w:br w:type="textWrapping"/>
        <w:br w:type="textWrapping"/>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Questionnaire for EBCO Annual Report 2024</w:t>
        <w:br w:type="textWrapping"/>
      </w:r>
      <w:r w:rsidDel="00000000" w:rsidR="00000000" w:rsidRPr="00000000">
        <w:rPr>
          <w:rtl w:val="0"/>
        </w:rPr>
      </w:r>
    </w:p>
    <w:p w:rsidR="00000000" w:rsidDel="00000000" w:rsidP="00000000" w:rsidRDefault="00000000" w:rsidRPr="00000000" w14:paraId="00000005">
      <w:pPr>
        <w:pStyle w:val="Heading3"/>
        <w:jc w:val="both"/>
        <w:rPr/>
      </w:pPr>
      <w:bookmarkStart w:colFirst="0" w:colLast="0" w:name="_heading=h.gjdgxs" w:id="0"/>
      <w:bookmarkEnd w:id="0"/>
      <w:r w:rsidDel="00000000" w:rsidR="00000000" w:rsidRPr="00000000">
        <w:rPr>
          <w:rtl w:val="0"/>
        </w:rPr>
        <w:t xml:space="preserve">A. Status of conscription</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conscription into obligatory military service currently applied?</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No, conscription into obligatory military service is not currently applied.</w:t>
      </w:r>
    </w:p>
    <w:p w:rsidR="00000000" w:rsidDel="00000000" w:rsidP="00000000" w:rsidRDefault="00000000" w:rsidRPr="00000000" w14:paraId="00000008">
      <w:pPr>
        <w:pStyle w:val="Heading3"/>
        <w:jc w:val="both"/>
        <w:rPr/>
      </w:pPr>
      <w:bookmarkStart w:colFirst="0" w:colLast="0" w:name="_heading=h.30j0zll" w:id="1"/>
      <w:bookmarkEnd w:id="1"/>
      <w:r w:rsidDel="00000000" w:rsidR="00000000" w:rsidRPr="00000000">
        <w:rPr>
          <w:rtl w:val="0"/>
        </w:rPr>
        <w:t xml:space="preserve">B. (Skip if not applicable) Countries with conscription</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so, what are the legislative provisions that govern the procedures? Please give full details.</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is the minimum age for conscription?</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is the duration of military service?</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provision is there for the exemption of conscientious objectors?</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proportion of conscripts sign up for subsequent voluntary service?</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reservist obligations apply, what is the call up procedure for reserve service?</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many persons were prosecuted in recent years for evasion/refusal of military service? How many of these had declared conscientious objections? What were the outcomes, and what sentences were imposed?</w:t>
      </w:r>
    </w:p>
    <w:p w:rsidR="00000000" w:rsidDel="00000000" w:rsidP="00000000" w:rsidRDefault="00000000" w:rsidRPr="00000000" w14:paraId="00000010">
      <w:pPr>
        <w:pStyle w:val="Heading3"/>
        <w:jc w:val="both"/>
        <w:rPr/>
      </w:pPr>
      <w:bookmarkStart w:colFirst="0" w:colLast="0" w:name="_heading=h.1fob9te" w:id="2"/>
      <w:bookmarkEnd w:id="2"/>
      <w:r w:rsidDel="00000000" w:rsidR="00000000" w:rsidRPr="00000000">
        <w:rPr>
          <w:rtl w:val="0"/>
        </w:rPr>
        <w:t xml:space="preserve">C. (Skip if not applicable) Countries without conscription</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Has any legislation regarding obligatory military service (conscription) been abolished, or has it merely been suspended, meaning that it could be reimposed at any time?</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there an ongoing registration procedure for those liable for military service? Is it possible for a conscientious objector to refuse to be registered? From what age is registration required?</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suspended, are there specific provisions regarding the circumstances in which it could be reinstated and the process to be followed?</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Would reinstatement mean that previous legislation regarding conscientious objection would remain applicable? If so, please answer sections F and G with regard to such legislation.</w:t>
      </w:r>
    </w:p>
    <w:p w:rsidR="00000000" w:rsidDel="00000000" w:rsidP="00000000" w:rsidRDefault="00000000" w:rsidRPr="00000000" w14:paraId="00000015">
      <w:pPr>
        <w:pStyle w:val="Heading3"/>
        <w:spacing w:after="80" w:line="240" w:lineRule="auto"/>
        <w:jc w:val="both"/>
        <w:rPr/>
      </w:pPr>
      <w:bookmarkStart w:colFirst="0" w:colLast="0" w:name="_heading=h.3znysh7" w:id="3"/>
      <w:bookmarkEnd w:id="3"/>
      <w:r w:rsidDel="00000000" w:rsidR="00000000" w:rsidRPr="00000000">
        <w:rPr>
          <w:rtl w:val="0"/>
        </w:rPr>
        <w:t xml:space="preserve">D. School system</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attendance at any days of introduction to the armed forces or military careers or other programmes which could be seen as preparatory to military recruitment an obligatory part of the secondary education curriculum?</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No, attendance at days of introduction to the armed forces, military careers, or other programs that could be seen as preparatory to military recruitment is not an obligatory part of the secondary education curriculum.</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 the armed forces have access to personal data of students?</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No, the armed forces do not have access to the personal data of students.</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 military institutions offer temporary programs to students aged under 18 to learn more about military careers?</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No, military institutions do not offer temporary programs to students aged under 18 to learn more about military careers.</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Are military personnel involved in teaching classes at schools, on a temporary or long term basis?</w:t>
      </w:r>
    </w:p>
    <w:p w:rsidR="00000000" w:rsidDel="00000000" w:rsidP="00000000" w:rsidRDefault="00000000" w:rsidRPr="00000000" w14:paraId="0000001D">
      <w:pPr>
        <w:ind w:left="720" w:firstLine="0"/>
        <w:jc w:val="both"/>
        <w:rPr>
          <w:b w:val="1"/>
        </w:rPr>
      </w:pPr>
      <w:bookmarkStart w:colFirst="0" w:colLast="0" w:name="_heading=h.2et92p0" w:id="4"/>
      <w:bookmarkEnd w:id="4"/>
      <w:r w:rsidDel="00000000" w:rsidR="00000000" w:rsidRPr="00000000">
        <w:rPr>
          <w:b w:val="1"/>
          <w:rtl w:val="0"/>
        </w:rPr>
        <w:t xml:space="preserve">Partially, military personnel are involved in teaching classes at schools. From 2022, a program for 11th grade has been introduced, and a pilot project is currently underway. The taught subjects primarily focus on overall security measures and aim to provide the new generation with a general overview of security-related topics. Also, KSF holds lectures on mine risk awareness. The Kosovo Security Force (FSK) organizes lectures for students in primary and lower secondary schools in the municipalities of Kosovo, to make students aware of the danger of mines and other various unexploded explosive devices. This project is carried out in cooperation between the Kosovo Security Force, the Ministry of Education, Science and Technology and the Municipal Directorates of Education.</w:t>
      </w:r>
    </w:p>
    <w:p w:rsidR="00000000" w:rsidDel="00000000" w:rsidP="00000000" w:rsidRDefault="00000000" w:rsidRPr="00000000" w14:paraId="0000001E">
      <w:pPr>
        <w:pStyle w:val="Heading3"/>
        <w:jc w:val="both"/>
        <w:rPr/>
      </w:pPr>
      <w:r w:rsidDel="00000000" w:rsidR="00000000" w:rsidRPr="00000000">
        <w:rPr>
          <w:rtl w:val="0"/>
        </w:rPr>
        <w:t xml:space="preserve">E. Voluntary recruitment into military service</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incentives or measures are used by the national armed forces to encourage voluntary recruitment? (financial incentives, scholarships, career prospects, advertising, etc.)</w:t>
      </w:r>
    </w:p>
    <w:p w:rsidR="00000000" w:rsidDel="00000000" w:rsidP="00000000" w:rsidRDefault="00000000" w:rsidRPr="00000000" w14:paraId="00000020">
      <w:pPr>
        <w:jc w:val="both"/>
        <w:rPr>
          <w:b w:val="1"/>
        </w:rPr>
      </w:pPr>
      <w:r w:rsidDel="00000000" w:rsidR="00000000" w:rsidRPr="00000000">
        <w:rPr>
          <w:b w:val="1"/>
          <w:rtl w:val="0"/>
        </w:rPr>
        <w:t xml:space="preserve">The Kosovo Security Force use several incentives and measures to encourage voluntary recruitment, including:</w:t>
      </w:r>
    </w:p>
    <w:p w:rsidR="00000000" w:rsidDel="00000000" w:rsidP="00000000" w:rsidRDefault="00000000" w:rsidRPr="00000000" w14:paraId="00000021">
      <w:pPr>
        <w:jc w:val="both"/>
        <w:rPr/>
      </w:pPr>
      <w:r w:rsidDel="00000000" w:rsidR="00000000" w:rsidRPr="00000000">
        <w:rPr>
          <w:b w:val="1"/>
          <w:rtl w:val="0"/>
        </w:rPr>
        <w:t xml:space="preserve">Financial Incentives</w:t>
      </w:r>
      <w:r w:rsidDel="00000000" w:rsidR="00000000" w:rsidRPr="00000000">
        <w:rPr>
          <w:rtl w:val="0"/>
        </w:rPr>
        <w:t xml:space="preserve">: Competitive salaries, travel, etc.</w:t>
      </w:r>
    </w:p>
    <w:p w:rsidR="00000000" w:rsidDel="00000000" w:rsidP="00000000" w:rsidRDefault="00000000" w:rsidRPr="00000000" w14:paraId="00000022">
      <w:pPr>
        <w:jc w:val="both"/>
        <w:rPr/>
      </w:pPr>
      <w:r w:rsidDel="00000000" w:rsidR="00000000" w:rsidRPr="00000000">
        <w:rPr>
          <w:b w:val="1"/>
          <w:rtl w:val="0"/>
        </w:rPr>
        <w:t xml:space="preserve">Education Benefits</w:t>
      </w:r>
      <w:r w:rsidDel="00000000" w:rsidR="00000000" w:rsidRPr="00000000">
        <w:rPr>
          <w:rtl w:val="0"/>
        </w:rPr>
        <w:t xml:space="preserve">: Scholarships.</w:t>
      </w:r>
    </w:p>
    <w:p w:rsidR="00000000" w:rsidDel="00000000" w:rsidP="00000000" w:rsidRDefault="00000000" w:rsidRPr="00000000" w14:paraId="00000023">
      <w:pPr>
        <w:jc w:val="both"/>
        <w:rPr/>
      </w:pPr>
      <w:r w:rsidDel="00000000" w:rsidR="00000000" w:rsidRPr="00000000">
        <w:rPr>
          <w:b w:val="1"/>
          <w:rtl w:val="0"/>
        </w:rPr>
        <w:t xml:space="preserve">Career Prospects</w:t>
      </w:r>
      <w:r w:rsidDel="00000000" w:rsidR="00000000" w:rsidRPr="00000000">
        <w:rPr>
          <w:rtl w:val="0"/>
        </w:rPr>
        <w:t xml:space="preserve">: Opportunities for long-term careers, skill development, and leadership roles within the military.</w:t>
      </w:r>
    </w:p>
    <w:p w:rsidR="00000000" w:rsidDel="00000000" w:rsidP="00000000" w:rsidRDefault="00000000" w:rsidRPr="00000000" w14:paraId="00000024">
      <w:pPr>
        <w:jc w:val="both"/>
        <w:rPr/>
      </w:pPr>
      <w:r w:rsidDel="00000000" w:rsidR="00000000" w:rsidRPr="00000000">
        <w:rPr>
          <w:b w:val="1"/>
          <w:rtl w:val="0"/>
        </w:rPr>
        <w:t xml:space="preserve">Healthcare and Retirement Benefits</w:t>
      </w:r>
      <w:r w:rsidDel="00000000" w:rsidR="00000000" w:rsidRPr="00000000">
        <w:rPr>
          <w:rtl w:val="0"/>
        </w:rPr>
        <w:t xml:space="preserve">: Solid healthcare for service members and their families, along with pension plans and retirement benefits.</w:t>
      </w:r>
    </w:p>
    <w:p w:rsidR="00000000" w:rsidDel="00000000" w:rsidP="00000000" w:rsidRDefault="00000000" w:rsidRPr="00000000" w14:paraId="00000025">
      <w:pPr>
        <w:jc w:val="both"/>
        <w:rPr/>
      </w:pPr>
      <w:r w:rsidDel="00000000" w:rsidR="00000000" w:rsidRPr="00000000">
        <w:rPr>
          <w:b w:val="1"/>
          <w:rtl w:val="0"/>
        </w:rPr>
        <w:t xml:space="preserve">Advertising and Outreach</w:t>
      </w:r>
      <w:r w:rsidDel="00000000" w:rsidR="00000000" w:rsidRPr="00000000">
        <w:rPr>
          <w:rtl w:val="0"/>
        </w:rPr>
        <w:t xml:space="preserve">: Recruitment campaigns through media, social media platforms, and community events to highlight the benefits and opportunities of military service.</w:t>
      </w:r>
    </w:p>
    <w:p w:rsidR="00000000" w:rsidDel="00000000" w:rsidP="00000000" w:rsidRDefault="00000000" w:rsidRPr="00000000" w14:paraId="00000026">
      <w:pPr>
        <w:jc w:val="both"/>
        <w:rPr/>
      </w:pPr>
      <w:r w:rsidDel="00000000" w:rsidR="00000000" w:rsidRPr="00000000">
        <w:rPr>
          <w:b w:val="1"/>
          <w:rtl w:val="0"/>
        </w:rPr>
        <w:t xml:space="preserve">Recognition and Prestige</w:t>
      </w:r>
      <w:r w:rsidDel="00000000" w:rsidR="00000000" w:rsidRPr="00000000">
        <w:rPr>
          <w:rtl w:val="0"/>
        </w:rPr>
        <w:t xml:space="preserve">: Promoting the honor, patriotism, and societal respect associated with serving in the armed forces.</w:t>
      </w:r>
    </w:p>
    <w:p w:rsidR="00000000" w:rsidDel="00000000" w:rsidP="00000000" w:rsidRDefault="00000000" w:rsidRPr="00000000" w14:paraId="00000027">
      <w:pPr>
        <w:jc w:val="both"/>
        <w:rPr/>
      </w:pPr>
      <w:r w:rsidDel="00000000" w:rsidR="00000000" w:rsidRPr="00000000">
        <w:rPr>
          <w:b w:val="1"/>
          <w:rtl w:val="0"/>
        </w:rPr>
        <w:t xml:space="preserve">Job Security</w:t>
      </w:r>
      <w:r w:rsidDel="00000000" w:rsidR="00000000" w:rsidRPr="00000000">
        <w:rPr>
          <w:rtl w:val="0"/>
        </w:rPr>
        <w:t xml:space="preserve">: Stable employment and guaranteed career progression.</w:t>
      </w:r>
    </w:p>
    <w:p w:rsidR="00000000" w:rsidDel="00000000" w:rsidP="00000000" w:rsidRDefault="00000000" w:rsidRPr="00000000" w14:paraId="00000028">
      <w:pPr>
        <w:jc w:val="both"/>
        <w:rPr/>
      </w:pP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is the minimum age for recruitment?</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The minimum age for recruitment is 18 years.</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was the total first-time military recruitment in recent years? Please disaggregate by age, gender and (if appropriate) whether as conscripts or volunteers.</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legislation governs voluntary recruitment into military service?</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is the duration of service initially required?</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Short-term service in the KSF is twelve (12) years.</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51"/>
        </w:tabs>
        <w:spacing w:after="0" w:before="0" w:line="240" w:lineRule="auto"/>
        <w:ind w:left="467" w:right="98"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The short-term service in the KSF, for officer ranks, is divided into two parts:</w:t>
      </w:r>
    </w:p>
    <w:p w:rsidR="00000000" w:rsidDel="00000000" w:rsidP="00000000" w:rsidRDefault="00000000" w:rsidRPr="00000000" w14:paraId="00000030">
      <w:pPr>
        <w:ind w:left="720" w:firstLine="0"/>
        <w:jc w:val="both"/>
        <w:rPr>
          <w:b w:val="1"/>
        </w:rPr>
      </w:pPr>
      <w:r w:rsidDel="00000000" w:rsidR="00000000" w:rsidRPr="00000000">
        <w:rPr>
          <w:b w:val="1"/>
          <w:rtl w:val="0"/>
        </w:rPr>
        <w:t xml:space="preserve">The duration of the first short-term service contract will be twice the duration of education at the Center for University Studies (CUS), at military academies abroad, the period of specific education/training;</w:t>
      </w:r>
    </w:p>
    <w:p w:rsidR="00000000" w:rsidDel="00000000" w:rsidP="00000000" w:rsidRDefault="00000000" w:rsidRPr="00000000" w14:paraId="00000031">
      <w:pPr>
        <w:ind w:left="720" w:firstLine="0"/>
        <w:jc w:val="both"/>
        <w:rPr>
          <w:b w:val="1"/>
        </w:rPr>
      </w:pPr>
      <w:r w:rsidDel="00000000" w:rsidR="00000000" w:rsidRPr="00000000">
        <w:rPr>
          <w:b w:val="1"/>
          <w:rtl w:val="0"/>
        </w:rPr>
        <w:t xml:space="preserve">The duration of the second short-term service contract will be the remaining time to complete the 12-year short-term service.</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51"/>
        </w:tabs>
        <w:spacing w:after="0" w:before="0" w:line="240" w:lineRule="auto"/>
        <w:ind w:left="720" w:right="98"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The short-term service in the KSF, for non-commissioned officer and soldier (private) ranks, is divided into two (2) parts:</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51"/>
        </w:tabs>
        <w:spacing w:after="0" w:before="0" w:line="240" w:lineRule="auto"/>
        <w:ind w:left="0" w:right="98"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The duration of the first short-term service contract will be five (5) years;</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51"/>
        </w:tabs>
        <w:spacing w:after="0" w:before="0" w:line="240" w:lineRule="auto"/>
        <w:ind w:left="720" w:right="98"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Members who have completed service according to sub-paragraph 1.3.1 of this article will have their contract extended for an additional seven (7) years to complete the short-term service.</w:t>
      </w:r>
    </w:p>
    <w:p w:rsidR="00000000" w:rsidDel="00000000" w:rsidP="00000000" w:rsidRDefault="00000000" w:rsidRPr="00000000" w14:paraId="00000035">
      <w:pPr>
        <w:spacing w:after="80" w:lineRule="auto"/>
        <w:ind w:left="720" w:firstLine="0"/>
        <w:jc w:val="both"/>
        <w:rPr>
          <w:b w:val="1"/>
        </w:rPr>
      </w:pPr>
      <w:r w:rsidDel="00000000" w:rsidR="00000000" w:rsidRPr="00000000">
        <w:rPr>
          <w:b w:val="1"/>
          <w:rtl w:val="0"/>
        </w:rPr>
        <w:t xml:space="preserve">The long-term service in the KSF is different to ranks: Officers, NonCommissioned Officers. 2. The long-term service in the KSF for the rank of Officers is divided in tëo parts set out by the contract with duration of eight (8) years with probability of extension until reaching the pension age.</w:t>
      </w:r>
    </w:p>
    <w:p w:rsidR="00000000" w:rsidDel="00000000" w:rsidP="00000000" w:rsidRDefault="00000000" w:rsidRPr="00000000" w14:paraId="00000036">
      <w:pPr>
        <w:spacing w:after="80" w:lineRule="auto"/>
        <w:ind w:left="720" w:firstLine="0"/>
        <w:jc w:val="both"/>
        <w:rPr>
          <w:b w:val="1"/>
        </w:rPr>
      </w:pPr>
      <w:r w:rsidDel="00000000" w:rsidR="00000000" w:rsidRPr="00000000">
        <w:rPr>
          <w:b w:val="1"/>
          <w:rtl w:val="0"/>
        </w:rPr>
        <w:t xml:space="preserve">The long-term service in the KSF for the ranks of Non-Commissioned Officers with a duration of eight (8) years with probability of the contract extension until reaching pension age.</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proportion of recruits sign up for a second period of the same length or longer?</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proportion of recruits who sign up for a second period of the same length or longer is in between the range of 60% to 70%.</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many persons were called up for reserve service, and of what duration?</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The member of the KSF Reserve serves a maximum of thirty-six (36) days a year, to train</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and prepare for operations. As an exception to paragraph 1. of this article, the member of the KSF Reserve may be required to serve more than thirty-six (36) days a year, in cases where: is mobilized to participate in crisis response operations, operations in peace support, or to assist civil authorities;</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Throughout the year, reserve component members are required to participate in field exercises, which can occur at least once or sometimes twice annually. The Kosovo Security Force is currently developing the concept for the reserve component, and it is expected to be drafted and approved by the organization's leadership in 2025.</w:t>
      </w:r>
    </w:p>
    <w:p w:rsidR="00000000" w:rsidDel="00000000" w:rsidP="00000000" w:rsidRDefault="00000000" w:rsidRPr="00000000" w14:paraId="0000003D">
      <w:pPr>
        <w:pStyle w:val="Heading3"/>
        <w:spacing w:after="80" w:line="240" w:lineRule="auto"/>
        <w:jc w:val="both"/>
        <w:rPr/>
      </w:pPr>
      <w:bookmarkStart w:colFirst="0" w:colLast="0" w:name="_heading=h.tyjcwt" w:id="5"/>
      <w:bookmarkEnd w:id="5"/>
      <w:r w:rsidDel="00000000" w:rsidR="00000000" w:rsidRPr="00000000">
        <w:rPr>
          <w:rtl w:val="0"/>
        </w:rPr>
        <w:t xml:space="preserve">F. Application process for recognition of conscientious objectors</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process is used to decide upon applications for the recognition of conscientious objectors?</w:t>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information is provided to conscripts regarding the possibility of applying for recognition?</w:t>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body is responsible for deciding upon applications?</w:t>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Who sits in the responsible body?</w:t>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recent years, how many applications were received? How many were successful on first consideration; how many unsuccessful applications were appealed, and with what results?</w:t>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Are you able to indicate on which grounds any were rejected?</w:t>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can the decision be appealed?</w:t>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are the legal provisions for those who also refuse to perform alternative service?</w:t>
      </w:r>
    </w:p>
    <w:p w:rsidR="00000000" w:rsidDel="00000000" w:rsidP="00000000" w:rsidRDefault="00000000" w:rsidRPr="00000000" w14:paraId="00000046">
      <w:pPr>
        <w:pStyle w:val="Heading3"/>
        <w:spacing w:after="80" w:line="240" w:lineRule="auto"/>
        <w:jc w:val="both"/>
        <w:rPr/>
      </w:pPr>
      <w:bookmarkStart w:colFirst="0" w:colLast="0" w:name="_heading=h.3dy6vkm" w:id="6"/>
      <w:bookmarkEnd w:id="6"/>
      <w:r w:rsidDel="00000000" w:rsidR="00000000" w:rsidRPr="00000000">
        <w:rPr>
          <w:rtl w:val="0"/>
        </w:rPr>
        <w:t xml:space="preserve">G. Terms of alternative service</w:t>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alternative service is / would be required of conscientious objectors, under what authority are the arrangements administered?</w:t>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is the duration of alternative service?</w:t>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what duration of military service would the objector otherwise have been liable?</w:t>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is the rate of remuneration?</w:t>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does the rate of remuneration compare to that of military conscripts?</w:t>
      </w:r>
    </w:p>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Which bodies offer alternative service placements?</w:t>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Are conscientious objectors assigned to placements, or do they have a free choice?</w:t>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it possible to perform alternative service while continuing to live at one’s permanent address?</w:t>
      </w:r>
    </w:p>
    <w:p w:rsidR="00000000" w:rsidDel="00000000" w:rsidP="00000000" w:rsidRDefault="00000000" w:rsidRPr="00000000" w14:paraId="0000004F">
      <w:pPr>
        <w:pStyle w:val="Heading3"/>
        <w:jc w:val="both"/>
        <w:rPr/>
      </w:pPr>
      <w:bookmarkStart w:colFirst="0" w:colLast="0" w:name="_heading=h.1t3h5sf" w:id="7"/>
      <w:bookmarkEnd w:id="7"/>
      <w:r w:rsidDel="00000000" w:rsidR="00000000" w:rsidRPr="00000000">
        <w:rPr>
          <w:rtl w:val="0"/>
        </w:rPr>
        <w:t xml:space="preserve">H. Conscientious objection during military service of conscripts/volunteers</w:t>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legislation or regulations would apply to the case of a serving member of the armed forces who applied for release having developed conscientious objection?</w:t>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procedures are followed in the event of an application?</w:t>
      </w:r>
    </w:p>
    <w:p w:rsidR="00000000" w:rsidDel="00000000" w:rsidP="00000000" w:rsidRDefault="00000000" w:rsidRPr="00000000" w14:paraId="000000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information is available to serving personnel about the right of conscientious objection and the means of applying for release?</w:t>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Have any such cases been recorded in recent years? Please give details of the number of applications, the number of acceptances.</w:t>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Give details, if relevant, of the grounds for any rejections.</w:t>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many persons were prosecuted for desertion? Were any of these persons who had declared themselves conscientious objectors? What was the outcome, and what sentences were imposed?</w:t>
      </w:r>
    </w:p>
    <w:p w:rsidR="00000000" w:rsidDel="00000000" w:rsidP="00000000" w:rsidRDefault="00000000" w:rsidRPr="00000000" w14:paraId="00000056">
      <w:pPr>
        <w:pStyle w:val="Heading3"/>
        <w:spacing w:after="80" w:line="240" w:lineRule="auto"/>
        <w:jc w:val="both"/>
        <w:rPr/>
      </w:pPr>
      <w:bookmarkStart w:colFirst="0" w:colLast="0" w:name="_heading=h.4d34og8" w:id="8"/>
      <w:bookmarkEnd w:id="8"/>
      <w:r w:rsidDel="00000000" w:rsidR="00000000" w:rsidRPr="00000000">
        <w:rPr>
          <w:rtl w:val="0"/>
        </w:rPr>
        <w:t xml:space="preserve">I. Conscientious objection after military service</w:t>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legislation or regulations would apply to the case of a reservist who applied for recognition as a conscientious objector?</w:t>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Have any persons sought to refuse reserve service on this basis in recent years? With what results?</w:t>
      </w:r>
    </w:p>
    <w:p w:rsidR="00000000" w:rsidDel="00000000" w:rsidP="00000000" w:rsidRDefault="00000000" w:rsidRPr="00000000" w14:paraId="00000059">
      <w:pPr>
        <w:pStyle w:val="Heading3"/>
        <w:spacing w:after="80" w:line="240" w:lineRule="auto"/>
        <w:jc w:val="both"/>
        <w:rPr/>
      </w:pPr>
      <w:bookmarkStart w:colFirst="0" w:colLast="0" w:name="_heading=h.2s8eyo1" w:id="9"/>
      <w:bookmarkEnd w:id="9"/>
      <w:r w:rsidDel="00000000" w:rsidR="00000000" w:rsidRPr="00000000">
        <w:rPr>
          <w:rtl w:val="0"/>
        </w:rPr>
        <w:t xml:space="preserve">J. Asylum for conscientious objectors</w:t>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Would it be possible for you to obtain statistics on approvals/rejections of those asylum applications in your country that were citing conscientious objection?</w:t>
      </w:r>
    </w:p>
    <w:p w:rsidR="00000000" w:rsidDel="00000000" w:rsidP="00000000" w:rsidRDefault="00000000" w:rsidRPr="00000000" w14:paraId="0000005B">
      <w:pPr>
        <w:pStyle w:val="Heading3"/>
        <w:spacing w:after="80" w:line="240" w:lineRule="auto"/>
        <w:jc w:val="both"/>
        <w:rPr/>
      </w:pPr>
      <w:bookmarkStart w:colFirst="0" w:colLast="0" w:name="_heading=h.17dp8vu" w:id="10"/>
      <w:bookmarkEnd w:id="10"/>
      <w:r w:rsidDel="00000000" w:rsidR="00000000" w:rsidRPr="00000000">
        <w:rPr>
          <w:rtl w:val="0"/>
        </w:rPr>
        <w:t xml:space="preserve">K. Developments since last year</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hyperlink r:id="rId12">
        <w:r w:rsidDel="00000000" w:rsidR="00000000" w:rsidRPr="00000000">
          <w:rPr>
            <w:rFonts w:ascii="Times New Roman" w:cs="Times New Roman" w:eastAsia="Times New Roman" w:hAnsi="Times New Roman"/>
            <w:b w:val="1"/>
            <w:i w:val="1"/>
            <w:smallCaps w:val="0"/>
            <w:strike w:val="0"/>
            <w:color w:val="1155cc"/>
            <w:sz w:val="24"/>
            <w:szCs w:val="24"/>
            <w:u w:val="single"/>
            <w:shd w:fill="auto" w:val="clear"/>
            <w:vertAlign w:val="baseline"/>
            <w:rtl w:val="0"/>
          </w:rPr>
          <w:t xml:space="preserve">Here you can find the information published in last year’s Report</w:t>
        </w:r>
      </w:hyperlink>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legislative changes have happened within the last year?</w:t>
      </w:r>
    </w:p>
    <w:p w:rsidR="00000000" w:rsidDel="00000000" w:rsidP="00000000" w:rsidRDefault="00000000" w:rsidRPr="00000000" w14:paraId="000000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there any legal initiative undergoing at the Parliament or any other state body which concerns the military service, the right to conscientious objection, or related issues?</w:t>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Anything else that you would like to report?</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mc:AlternateContent>
          <mc:Choice Requires="wpg">
            <w:drawing>
              <wp:inline distB="0" distT="0" distL="0" distR="0">
                <wp:extent cx="6489065" cy="28575"/>
                <wp:effectExtent b="0" l="0" r="0" t="0"/>
                <wp:docPr id="6" name=""/>
                <a:graphic>
                  <a:graphicData uri="http://schemas.microsoft.com/office/word/2010/wordprocessingShape">
                    <wps:wsp>
                      <wps:cNvSpPr/>
                      <wps:cNvPr id="3" name="Shape 3"/>
                      <wps:spPr>
                        <a:xfrm>
                          <a:off x="2106180" y="3770460"/>
                          <a:ext cx="6479640" cy="19080"/>
                        </a:xfrm>
                        <a:prstGeom prst="rect">
                          <a:avLst/>
                        </a:prstGeom>
                        <a:solidFill>
                          <a:srgbClr val="A0A0A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6489065" cy="28575"/>
                <wp:effectExtent b="0" l="0" r="0" t="0"/>
                <wp:docPr id="6" name="image4.png"/>
                <a:graphic>
                  <a:graphicData uri="http://schemas.openxmlformats.org/drawingml/2006/picture">
                    <pic:pic>
                      <pic:nvPicPr>
                        <pic:cNvPr id="0" name="image4.png"/>
                        <pic:cNvPicPr preferRelativeResize="0"/>
                      </pic:nvPicPr>
                      <pic:blipFill>
                        <a:blip r:embed="rId11"/>
                        <a:srcRect/>
                        <a:stretch>
                          <a:fillRect/>
                        </a:stretch>
                      </pic:blipFill>
                      <pic:spPr>
                        <a:xfrm>
                          <a:off x="0" y="0"/>
                          <a:ext cx="6489065" cy="285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80"/>
          <w:sz w:val="16"/>
          <w:szCs w:val="16"/>
          <w:u w:val="none"/>
          <w:shd w:fill="auto" w:val="clear"/>
          <w:vertAlign w:val="baseline"/>
          <w:rtl w:val="0"/>
        </w:rPr>
        <w:t xml:space="preserve">EBCO was founded in Brussels in 1979 as an umbrella structure for national associations of conscientious objectors in the European countries to promote the right to conscientious objection to preparations for, and participation in, war and any other type of military activity as a fundamental human right. It enjoys participatory status with the Council of Europe since 1998 and is a member of its Conference of International Non-Governmental Organisations since 2005. It provides expertise and legal opinions on behalf of the Directorate General of Human Rights and Legal Affairs of the Council of Europe. It is involved in drawing up the annual report of the Committee on Civil Liberties, Justice and Home Affairs of the European Parliament on the application by the Member States of its resolutions on conscientious objection and civilian service, as determined in the “Bandrés Molet &amp; Bindi Resolution” of 1994. It is a full member of the European Youth Forum since 1995.</w:t>
      </w:r>
      <w:r w:rsidDel="00000000" w:rsidR="00000000" w:rsidRPr="00000000">
        <w:rPr>
          <w:rtl w:val="0"/>
        </w:rPr>
      </w:r>
    </w:p>
    <w:sectPr>
      <w:headerReference r:id="rId13" w:type="default"/>
      <w:pgSz w:h="16838" w:w="11906" w:orient="portrait"/>
      <w:pgMar w:bottom="777" w:top="680" w:left="851" w:right="851"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 w:name="Verdan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4">
    <w:pPr>
      <w:rPr>
        <w:i w:val="1"/>
      </w:rPr>
    </w:pPr>
    <w:r w:rsidDel="00000000" w:rsidR="00000000" w:rsidRPr="00000000">
      <w:rPr>
        <w:i w:val="1"/>
        <w:rtl w:val="0"/>
      </w:rPr>
      <w:t xml:space="preserve">Response by the Ministry of Defence of Kosovo, dated 30 January 2025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sz w:val="24"/>
        <w:szCs w:val="24"/>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i w:val="0"/>
      <w:smallCaps w:val="0"/>
      <w:strike w:val="0"/>
      <w:color w:val="000000"/>
      <w:sz w:val="22"/>
      <w:szCs w:val="22"/>
      <w:u w:val="single"/>
      <w:shd w:fill="auto" w:val="clear"/>
      <w:vertAlign w:val="baseline"/>
    </w:rPr>
  </w:style>
  <w:style w:type="paragraph" w:styleId="Heading2">
    <w:name w:val="heading 2"/>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pPr>
    <w:rPr>
      <w:rFonts w:ascii="Arial" w:cs="Arial" w:eastAsia="Arial" w:hAnsi="Arial"/>
      <w:b w:val="1"/>
      <w:i w:val="1"/>
      <w:smallCaps w:val="0"/>
      <w:strike w:val="0"/>
      <w:color w:val="000000"/>
      <w:sz w:val="28"/>
      <w:szCs w:val="28"/>
      <w:u w:val="none"/>
      <w:shd w:fill="auto" w:val="clear"/>
      <w:vertAlign w:val="baseline"/>
    </w:rPr>
  </w:style>
  <w:style w:type="paragraph" w:styleId="Heading3">
    <w:name w:val="heading 3"/>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76" w:lineRule="auto"/>
      <w:ind w:left="0" w:right="0" w:firstLine="0"/>
      <w:jc w:val="left"/>
    </w:pPr>
    <w:rPr>
      <w:rFonts w:ascii="Times New Roman" w:cs="Times New Roman" w:eastAsia="Times New Roman" w:hAnsi="Times New Roman"/>
      <w:b w:val="1"/>
      <w:i w:val="0"/>
      <w:smallCaps w:val="0"/>
      <w:strike w:val="0"/>
      <w:color w:val="000000"/>
      <w:sz w:val="30"/>
      <w:szCs w:val="30"/>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pPr>
    <w:rPr>
      <w:rFonts w:ascii="Times New Roman" w:cs="Times New Roman" w:eastAsia="Times New Roman" w:hAnsi="Times New Roman"/>
      <w:b w:val="1"/>
      <w:i w:val="1"/>
      <w:smallCaps w:val="0"/>
      <w:strike w:val="0"/>
      <w:color w:val="000000"/>
      <w:sz w:val="26"/>
      <w:szCs w:val="26"/>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qFormat w:val="1"/>
  </w:style>
  <w:style w:type="paragraph" w:styleId="Heading1">
    <w:name w:val="heading 1"/>
    <w:basedOn w:val="normal1"/>
    <w:next w:val="normal1"/>
    <w:qFormat w:val="1"/>
    <w:pPr>
      <w:keepNext w:val="1"/>
      <w:outlineLvl w:val="0"/>
    </w:pPr>
    <w:rPr>
      <w:rFonts w:ascii="Arial" w:cs="Arial" w:eastAsia="Arial" w:hAnsi="Arial"/>
      <w:sz w:val="22"/>
      <w:szCs w:val="22"/>
      <w:u w:val="single"/>
    </w:rPr>
  </w:style>
  <w:style w:type="paragraph" w:styleId="Heading2">
    <w:name w:val="heading 2"/>
    <w:basedOn w:val="normal1"/>
    <w:next w:val="normal1"/>
    <w:qFormat w:val="1"/>
    <w:pPr>
      <w:keepNext w:val="1"/>
      <w:spacing w:after="60" w:before="240"/>
      <w:outlineLvl w:val="1"/>
    </w:pPr>
    <w:rPr>
      <w:rFonts w:ascii="Arial" w:cs="Arial" w:eastAsia="Arial" w:hAnsi="Arial"/>
      <w:b w:val="1"/>
      <w:i w:val="1"/>
      <w:sz w:val="28"/>
      <w:szCs w:val="28"/>
    </w:rPr>
  </w:style>
  <w:style w:type="paragraph" w:styleId="Heading3">
    <w:name w:val="heading 3"/>
    <w:basedOn w:val="normal1"/>
    <w:next w:val="normal1"/>
    <w:qFormat w:val="1"/>
    <w:pPr>
      <w:keepNext w:val="1"/>
      <w:spacing w:after="60" w:before="240" w:line="276" w:lineRule="auto"/>
      <w:outlineLvl w:val="2"/>
    </w:pPr>
    <w:rPr>
      <w:b w:val="1"/>
      <w:sz w:val="30"/>
      <w:szCs w:val="30"/>
    </w:rPr>
  </w:style>
  <w:style w:type="paragraph" w:styleId="Heading4">
    <w:name w:val="heading 4"/>
    <w:basedOn w:val="normal1"/>
    <w:next w:val="normal1"/>
    <w:qFormat w:val="1"/>
    <w:pPr>
      <w:keepNext w:val="1"/>
      <w:keepLines w:val="1"/>
      <w:spacing w:after="40" w:before="240"/>
      <w:outlineLvl w:val="3"/>
    </w:pPr>
    <w:rPr>
      <w:b w:val="1"/>
    </w:rPr>
  </w:style>
  <w:style w:type="paragraph" w:styleId="Heading5">
    <w:name w:val="heading 5"/>
    <w:basedOn w:val="normal1"/>
    <w:next w:val="normal1"/>
    <w:qFormat w:val="1"/>
    <w:pPr>
      <w:spacing w:after="60" w:before="240"/>
      <w:outlineLvl w:val="4"/>
    </w:pPr>
    <w:rPr>
      <w:rFonts w:cs="Times New Roman" w:eastAsia="Times New Roman"/>
      <w:b w:val="1"/>
      <w:i w:val="1"/>
      <w:sz w:val="26"/>
      <w:szCs w:val="26"/>
    </w:rPr>
  </w:style>
  <w:style w:type="paragraph" w:styleId="Heading6">
    <w:name w:val="heading 6"/>
    <w:basedOn w:val="normal1"/>
    <w:next w:val="norm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rPr>
      <w:color w:val="000080"/>
      <w:u w:val="single"/>
    </w:rPr>
  </w:style>
  <w:style w:type="paragraph" w:styleId="Heading" w:customStyle="1">
    <w:name w:val="Heading"/>
    <w:basedOn w:val="Normal"/>
    <w:next w:val="BodyText"/>
    <w:qFormat w:val="1"/>
    <w:pPr>
      <w:keepNext w:val="1"/>
      <w:spacing w:after="120" w:before="240"/>
    </w:pPr>
    <w:rPr>
      <w:rFonts w:ascii="Roboto Slab" w:eastAsia="Noto Sans CJK SC" w:hAnsi="Roboto Slab"/>
      <w:sz w:val="32"/>
      <w:szCs w:val="28"/>
    </w:rPr>
  </w:style>
  <w:style w:type="paragraph" w:styleId="BodyText">
    <w:name w:val="Body Text"/>
    <w:basedOn w:val="Normal"/>
    <w:pPr>
      <w:spacing w:after="140" w:line="276" w:lineRule="auto"/>
    </w:pPr>
  </w:style>
  <w:style w:type="paragraph" w:styleId="List">
    <w:name w:val="List"/>
    <w:basedOn w:val="BodyText"/>
    <w:rPr>
      <w:rFonts w:ascii="Roboto Condensed" w:hAnsi="Roboto Condensed"/>
    </w:rPr>
  </w:style>
  <w:style w:type="paragraph" w:styleId="Caption">
    <w:name w:val="caption"/>
    <w:basedOn w:val="Normal"/>
    <w:qFormat w:val="1"/>
    <w:pPr>
      <w:suppressLineNumbers w:val="1"/>
      <w:spacing w:after="120" w:before="120"/>
    </w:pPr>
    <w:rPr>
      <w:rFonts w:ascii="Roboto Condensed" w:hAnsi="Roboto Condensed"/>
      <w:i w:val="1"/>
      <w:iCs w:val="1"/>
    </w:rPr>
  </w:style>
  <w:style w:type="paragraph" w:styleId="Index" w:customStyle="1">
    <w:name w:val="Index"/>
    <w:basedOn w:val="Normal"/>
    <w:qFormat w:val="1"/>
    <w:pPr>
      <w:suppressLineNumbers w:val="1"/>
    </w:pPr>
    <w:rPr>
      <w:rFonts w:ascii="Roboto Condensed" w:hAnsi="Roboto Condensed"/>
    </w:rPr>
  </w:style>
  <w:style w:type="paragraph" w:styleId="normal1" w:customStyle="1">
    <w:name w:val="normal1"/>
    <w:qFormat w:val="1"/>
  </w:style>
  <w:style w:type="paragraph" w:styleId="Title">
    <w:name w:val="Title"/>
    <w:basedOn w:val="normal1"/>
    <w:next w:val="normal1"/>
    <w:qFormat w:val="1"/>
    <w:pPr>
      <w:keepNext w:val="1"/>
      <w:keepLines w:val="1"/>
      <w:spacing w:after="120" w:before="480"/>
    </w:pPr>
    <w:rPr>
      <w:b w:val="1"/>
      <w:sz w:val="72"/>
      <w:szCs w:val="72"/>
    </w:rPr>
  </w:style>
  <w:style w:type="paragraph" w:styleId="Subtitle">
    <w:name w:val="Subtitle"/>
    <w:basedOn w:val="normal1"/>
    <w:next w:val="normal1"/>
    <w:qFormat w:val="1"/>
    <w:pPr>
      <w:keepNext w:val="1"/>
      <w:keepLines w:val="1"/>
      <w:spacing w:after="80" w:before="360"/>
    </w:pPr>
    <w:rPr>
      <w:rFonts w:ascii="Georgia" w:cs="Georgia" w:eastAsia="Georgia" w:hAnsi="Georgia"/>
      <w:i w:val="1"/>
      <w:color w:val="666666"/>
      <w:sz w:val="48"/>
      <w:szCs w:val="48"/>
    </w:rPr>
  </w:style>
  <w:style w:type="paragraph" w:styleId="FrameContents" w:customStyle="1">
    <w:name w:val="Frame Contents"/>
    <w:basedOn w:val="Normal"/>
    <w:qFormat w:val="1"/>
  </w:style>
  <w:style w:type="paragraph" w:styleId="HeaderandFooter" w:customStyle="1">
    <w:name w:val="Header and Footer"/>
    <w:basedOn w:val="Normal"/>
    <w:qFormat w:val="1"/>
  </w:style>
  <w:style w:type="paragraph" w:styleId="Footer">
    <w:name w:val="footer"/>
    <w:basedOn w:val="HeaderandFooter"/>
  </w:style>
  <w:style w:type="paragraph" w:styleId="NormalWeb">
    <w:name w:val="Normal (Web)"/>
    <w:basedOn w:val="Normal"/>
    <w:uiPriority w:val="99"/>
    <w:semiHidden w:val="1"/>
    <w:unhideWhenUsed w:val="1"/>
    <w:rsid w:val="00C13942"/>
    <w:pPr>
      <w:suppressAutoHyphens w:val="0"/>
      <w:spacing w:after="100" w:afterAutospacing="1" w:before="100" w:beforeAutospacing="1"/>
    </w:pPr>
    <w:rPr>
      <w:rFonts w:cs="Times New Roman" w:eastAsia="Times New Roman"/>
      <w:lang w:bidi="ar-SA" w:eastAsia="en-US"/>
    </w:rPr>
  </w:style>
  <w:style w:type="character" w:styleId="Strong">
    <w:name w:val="Strong"/>
    <w:basedOn w:val="DefaultParagraphFont"/>
    <w:uiPriority w:val="22"/>
    <w:qFormat w:val="1"/>
    <w:rsid w:val="007C56EE"/>
    <w:rPr>
      <w:b w:val="1"/>
      <w:bCs w:val="1"/>
    </w:rPr>
  </w:style>
  <w:style w:type="paragraph" w:styleId="ListParagraph">
    <w:name w:val="List Paragraph"/>
    <w:basedOn w:val="Normal"/>
    <w:uiPriority w:val="1"/>
    <w:qFormat w:val="1"/>
    <w:rsid w:val="004B6E12"/>
    <w:pPr>
      <w:widowControl w:val="0"/>
      <w:suppressAutoHyphens w:val="0"/>
      <w:autoSpaceDE w:val="0"/>
      <w:autoSpaceDN w:val="0"/>
    </w:pPr>
    <w:rPr>
      <w:rFonts w:cs="Times New Roman" w:eastAsia="Times New Roman"/>
      <w:sz w:val="22"/>
      <w:szCs w:val="22"/>
      <w:lang w:bidi="ar-SA" w:eastAsia="en-US" w:val="sq-AL"/>
    </w:rPr>
  </w:style>
  <w:style w:type="paragraph" w:styleId="TableParagraph" w:customStyle="1">
    <w:name w:val="Table Paragraph"/>
    <w:basedOn w:val="Normal"/>
    <w:uiPriority w:val="1"/>
    <w:qFormat w:val="1"/>
    <w:rsid w:val="004B6E12"/>
    <w:pPr>
      <w:widowControl w:val="0"/>
      <w:suppressAutoHyphens w:val="0"/>
      <w:autoSpaceDE w:val="0"/>
      <w:autoSpaceDN w:val="0"/>
    </w:pPr>
    <w:rPr>
      <w:rFonts w:cs="Times New Roman" w:eastAsia="Times New Roman"/>
      <w:sz w:val="22"/>
      <w:szCs w:val="22"/>
      <w:lang w:bidi="ar-SA" w:eastAsia="en-US" w:val="sq-AL"/>
    </w:rPr>
  </w:style>
  <w:style w:type="paragraph" w:styleId="CommentText">
    <w:name w:val="annotation text"/>
    <w:basedOn w:val="Normal"/>
    <w:link w:val="CommentTextChar"/>
    <w:uiPriority w:val="99"/>
    <w:semiHidden w:val="1"/>
    <w:unhideWhenUsed w:val="1"/>
    <w:rsid w:val="004B6E12"/>
    <w:pPr>
      <w:widowControl w:val="0"/>
      <w:suppressAutoHyphens w:val="0"/>
      <w:autoSpaceDE w:val="0"/>
      <w:autoSpaceDN w:val="0"/>
    </w:pPr>
    <w:rPr>
      <w:rFonts w:cs="Times New Roman" w:eastAsia="Times New Roman"/>
      <w:sz w:val="20"/>
      <w:szCs w:val="20"/>
      <w:lang w:bidi="ar-SA" w:eastAsia="en-US" w:val="sq-AL"/>
    </w:rPr>
  </w:style>
  <w:style w:type="character" w:styleId="CommentTextChar" w:customStyle="1">
    <w:name w:val="Comment Text Char"/>
    <w:basedOn w:val="DefaultParagraphFont"/>
    <w:link w:val="CommentText"/>
    <w:uiPriority w:val="99"/>
    <w:semiHidden w:val="1"/>
    <w:rsid w:val="004B6E12"/>
    <w:rPr>
      <w:rFonts w:cs="Times New Roman" w:eastAsia="Times New Roman"/>
      <w:sz w:val="20"/>
      <w:szCs w:val="20"/>
      <w:lang w:bidi="ar-SA" w:eastAsia="en-US" w:val="sq-AL"/>
    </w:rPr>
  </w:style>
  <w:style w:type="paragraph" w:styleId="HTMLPreformatted">
    <w:name w:val="HTML Preformatted"/>
    <w:basedOn w:val="Normal"/>
    <w:link w:val="HTMLPreformattedChar"/>
    <w:uiPriority w:val="99"/>
    <w:semiHidden w:val="1"/>
    <w:unhideWhenUsed w:val="1"/>
    <w:rsid w:val="00C37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cs="Courier New" w:eastAsia="Times New Roman" w:hAnsi="Courier New"/>
      <w:sz w:val="20"/>
      <w:szCs w:val="20"/>
      <w:lang w:bidi="ar-SA" w:eastAsia="en-US"/>
    </w:rPr>
  </w:style>
  <w:style w:type="character" w:styleId="HTMLPreformattedChar" w:customStyle="1">
    <w:name w:val="HTML Preformatted Char"/>
    <w:basedOn w:val="DefaultParagraphFont"/>
    <w:link w:val="HTMLPreformatted"/>
    <w:uiPriority w:val="99"/>
    <w:semiHidden w:val="1"/>
    <w:rsid w:val="00C370B1"/>
    <w:rPr>
      <w:rFonts w:ascii="Courier New" w:cs="Courier New" w:eastAsia="Times New Roman" w:hAnsi="Courier New"/>
      <w:sz w:val="20"/>
      <w:szCs w:val="20"/>
      <w:lang w:bidi="ar-SA" w:eastAsia="en-US"/>
    </w:rPr>
  </w:style>
  <w:style w:type="character" w:styleId="y2iqfc" w:customStyle="1">
    <w:name w:val="y2iqfc"/>
    <w:basedOn w:val="DefaultParagraphFont"/>
    <w:rsid w:val="00C370B1"/>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0" Type="http://schemas.openxmlformats.org/officeDocument/2006/relationships/hyperlink" Target="mailto:ebco@ebco-beoc.eu" TargetMode="External"/><Relationship Id="rId13" Type="http://schemas.openxmlformats.org/officeDocument/2006/relationships/header" Target="header1.xml"/><Relationship Id="rId12" Type="http://schemas.openxmlformats.org/officeDocument/2006/relationships/hyperlink" Target="https://ebco-beoc.org/sites/ebco-beoc.org/files/2024-05-15-EBCO_Annual_Report_2023-24.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ebco-beoc.or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ffLzB4zrs9HvxXuU9UN2jc0Y/Q==">CgMxLjAyCGguZ2pkZ3hzMgloLjMwajB6bGwyCWguMWZvYjl0ZTIJaC4zem55c2g3MgloLjJldDkycDAyCGgudHlqY3d0MgloLjNkeTZ2a20yCWguMXQzaDVzZjIJaC40ZDM0b2c4MgloLjJzOGV5bzEyCWguMTdkcDh2dTgAciExN0VuZXZQVDJNOVJKTkFyYlVzS2xpU3UzOVNVLWJwNmo=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2025-01-30T13:06:00Z</dcterms:created>
  <dc:creator>Besnik Xh. Thaqi</dc:creator>
</cp:coreProperties>
</file>