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00" w:line="301.09090909090907" w:lineRule="auto"/>
        <w:rPr>
          <w:rFonts w:ascii="Arial" w:cs="Arial" w:eastAsia="Arial" w:hAnsi="Arial"/>
        </w:rPr>
      </w:pPr>
      <w:r w:rsidDel="00000000" w:rsidR="00000000" w:rsidRPr="00000000">
        <w:rPr>
          <w:rtl w:val="0"/>
        </w:rPr>
      </w:r>
    </w:p>
    <w:p w:rsidR="00000000" w:rsidDel="00000000" w:rsidP="00000000" w:rsidRDefault="00000000" w:rsidRPr="00000000" w14:paraId="00000002">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Dear Reprezentatives of European Bureau for Conscientious Objection, </w:t>
      </w:r>
    </w:p>
    <w:p w:rsidR="00000000" w:rsidDel="00000000" w:rsidP="00000000" w:rsidRDefault="00000000" w:rsidRPr="00000000" w14:paraId="00000003">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This e-mail is in accordance with your request of the Annual Report on Conscientious Objection to Military Service in Europe.</w:t>
      </w:r>
    </w:p>
    <w:p w:rsidR="00000000" w:rsidDel="00000000" w:rsidP="00000000" w:rsidRDefault="00000000" w:rsidRPr="00000000" w14:paraId="00000004">
      <w:pPr>
        <w:spacing w:after="200" w:line="301.09090909090907" w:lineRule="auto"/>
        <w:rPr>
          <w:rFonts w:ascii="Arial" w:cs="Arial" w:eastAsia="Arial" w:hAnsi="Arial"/>
          <w:color w:val="1155cc"/>
        </w:rPr>
      </w:pPr>
      <w:r w:rsidDel="00000000" w:rsidR="00000000" w:rsidRPr="00000000">
        <w:rPr>
          <w:rFonts w:ascii="Arial" w:cs="Arial" w:eastAsia="Arial" w:hAnsi="Arial"/>
          <w:rtl w:val="0"/>
        </w:rPr>
        <w:t xml:space="preserve">We would like to mention that, in the context of the topic addressed by you regarding “conscientious objections to military service”, the People's Advocate Office (Ombudsman) elaborated the Follow-up Visit Report to the “Moldova” Motorized Infantry Brigade from the municipality of Bălți, </w:t>
      </w:r>
      <w:r w:rsidDel="00000000" w:rsidR="00000000" w:rsidRPr="00000000">
        <w:rPr>
          <w:rFonts w:ascii="Arial" w:cs="Arial" w:eastAsia="Arial" w:hAnsi="Arial"/>
          <w:i w:val="1"/>
          <w:iCs w:val="1"/>
          <w:rtl w:val="0"/>
        </w:rPr>
        <w:t xml:space="preserve">section I. The situation of conscientious objectors</w:t>
      </w:r>
      <w:r w:rsidDel="00000000" w:rsidR="00000000" w:rsidRPr="00000000">
        <w:rPr>
          <w:rFonts w:ascii="Arial" w:cs="Arial" w:eastAsia="Arial" w:hAnsi="Arial"/>
          <w:rtl w:val="0"/>
        </w:rPr>
        <w:t xml:space="preserve">, which can be accessed on page 12. The Report can be accessed here: </w:t>
      </w:r>
      <w:hyperlink r:id="rId6">
        <w:r w:rsidDel="00000000" w:rsidR="00000000" w:rsidRPr="00000000">
          <w:rPr>
            <w:rFonts w:ascii="Arial" w:cs="Arial" w:eastAsia="Arial" w:hAnsi="Arial"/>
            <w:color w:val="1155cc"/>
            <w:rtl w:val="0"/>
          </w:rPr>
          <w:t xml:space="preserve">https://ombudsman.md/post-document/raport-in-baza-vizitei-de-follow-up-efectuate-la-brigada-de-infanterie-motorizata-moldova-din-municipiul-balti-la-data-de-20-noiembrie-2023/</w:t>
        </w:r>
      </w:hyperlink>
      <w:r w:rsidDel="00000000" w:rsidR="00000000" w:rsidRPr="00000000">
        <w:rPr>
          <w:rtl w:val="0"/>
        </w:rPr>
      </w:r>
    </w:p>
    <w:p w:rsidR="00000000" w:rsidDel="00000000" w:rsidP="00000000" w:rsidRDefault="00000000" w:rsidRPr="00000000" w14:paraId="00000005">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In this regard, the Ombudsman notes that the right to freedom of thought, conscience and religion represents a core element of human rights, which cannot be suspended even in exceptional situations, and that conscientious objection to military service constitutes a legitimate form of exercising this right, recognized both by international standards and by national legislation. The Republic of Moldova has the obligation to effectively ensure the possibility of replacing military service with civil (alternative) service for persons whose moral, religious or ethical convictions are incompatible with bearing arms.</w:t>
      </w:r>
    </w:p>
    <w:p w:rsidR="00000000" w:rsidDel="00000000" w:rsidP="00000000" w:rsidRDefault="00000000" w:rsidRPr="00000000" w14:paraId="00000006">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However, following the visit and the findings made, the Ombudsman notes the existence of serious deficiencies in the recruitment mechanism, manifested by the enlistment into the National Army of persons who have clearly expressed their conscientious objection, as well as of persons who invoke reasons related to religious, philosophical convictions, sexual orientation or other relevant personal circumstances. This practice contravenes both national legislation and the international commitments assumed by the Republic of Moldova and constitutes a violation of the fundamental rights guaranteed by Article 18 of the International Covenant on Civil and Political Rights.</w:t>
      </w:r>
    </w:p>
    <w:p w:rsidR="00000000" w:rsidDel="00000000" w:rsidP="00000000" w:rsidRDefault="00000000" w:rsidRPr="00000000" w14:paraId="00000007">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The Ombudsman emphasizes that the simple declaration of a person regarding the moral impossibility of bearing arms or performing military service is sufficient to activate the mechanism of referral to civil (alternative) service, without the need to prove it through certificates or other supporting documents. The recruitment commissions must not question or countermand the option of the recruit, but must start from the premise of respecting his or her right to conscientious objection.</w:t>
      </w:r>
    </w:p>
    <w:p w:rsidR="00000000" w:rsidDel="00000000" w:rsidP="00000000" w:rsidRDefault="00000000" w:rsidRPr="00000000" w14:paraId="00000008">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At the same time, the Ombudsman finds that the lack of an effective mechanism for the protection of conscientious objectors not only generates violations of human rights, but also creates additional difficulties in the process of training and integration of conscripts, affecting the proper functioning of the military institution. A modern and professional army must be based on the freely expressed will of candidates and on the conscious assumption of military service, not on coercion.</w:t>
      </w:r>
    </w:p>
    <w:p w:rsidR="00000000" w:rsidDel="00000000" w:rsidP="00000000" w:rsidRDefault="00000000" w:rsidRPr="00000000" w14:paraId="00000009">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Moreover, the Ombudsman draws attention to discriminatory and unprofessional approaches manifested towards persons of different sexual orientation, which indicate the persistence of stereotypes and of an institutional culture incompatible with human rights standards.</w:t>
      </w:r>
    </w:p>
    <w:p w:rsidR="00000000" w:rsidDel="00000000" w:rsidP="00000000" w:rsidRDefault="00000000" w:rsidRPr="00000000" w14:paraId="0000000A">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In this context, the Ombudsman reiterates the recommendation addressed to the Ministry of Defense to urgently review the mechanism of enlistment into the Armed Forces, so that it is centered on respecting conscientious objection and other well-founded personal circumstances, to prevent abusive recruitment and to ensure the effective application of the right to civil (alternative) service, in accordance with international standards and national legislation.</w:t>
      </w:r>
    </w:p>
    <w:p w:rsidR="00000000" w:rsidDel="00000000" w:rsidP="00000000" w:rsidRDefault="00000000" w:rsidRPr="00000000" w14:paraId="0000000B">
      <w:pPr>
        <w:spacing w:after="200" w:line="301.09090909090907" w:lineRule="auto"/>
        <w:rPr>
          <w:rFonts w:ascii="Arial" w:cs="Arial" w:eastAsia="Arial" w:hAnsi="Arial"/>
          <w:color w:val="1155cc"/>
        </w:rPr>
      </w:pPr>
      <w:r w:rsidDel="00000000" w:rsidR="00000000" w:rsidRPr="00000000">
        <w:rPr>
          <w:rFonts w:ascii="Arial" w:cs="Arial" w:eastAsia="Arial" w:hAnsi="Arial"/>
          <w:rtl w:val="0"/>
        </w:rPr>
        <w:t xml:space="preserve">At the same time, the Ombudsman has elaborated and partially expressed positions on the topic of “conscientious objectors” in the Special Report on ill-treatment based on discrimination in a military unit: the Pavlescu case (ex officio notification no. 07-10/1 of 17/01/2022): </w:t>
      </w:r>
      <w:hyperlink r:id="rId7">
        <w:r w:rsidDel="00000000" w:rsidR="00000000" w:rsidRPr="00000000">
          <w:rPr>
            <w:rFonts w:ascii="Arial" w:cs="Arial" w:eastAsia="Arial" w:hAnsi="Arial"/>
            <w:color w:val="1155cc"/>
            <w:rtl w:val="0"/>
          </w:rPr>
          <w:t xml:space="preserve">https://ombudsman.md/wp-content/uploads/2022/04/Raport_Special_cazul_pavlescu_FINAL-3.pdf</w:t>
        </w:r>
      </w:hyperlink>
      <w:r w:rsidDel="00000000" w:rsidR="00000000" w:rsidRPr="00000000">
        <w:rPr>
          <w:rtl w:val="0"/>
        </w:rPr>
      </w:r>
    </w:p>
    <w:p w:rsidR="00000000" w:rsidDel="00000000" w:rsidP="00000000" w:rsidRDefault="00000000" w:rsidRPr="00000000" w14:paraId="0000000C">
      <w:pPr>
        <w:spacing w:after="200" w:line="301.09090909090907" w:lineRule="auto"/>
        <w:rPr>
          <w:rFonts w:ascii="Arial" w:cs="Arial" w:eastAsia="Arial" w:hAnsi="Arial"/>
        </w:rPr>
      </w:pPr>
      <w:r w:rsidDel="00000000" w:rsidR="00000000" w:rsidRPr="00000000">
        <w:rPr>
          <w:rFonts w:ascii="Arial" w:cs="Arial" w:eastAsia="Arial" w:hAnsi="Arial"/>
          <w:u w:val="single"/>
          <w:rtl w:val="0"/>
        </w:rPr>
        <w:t xml:space="preserve">In general terms</w:t>
      </w:r>
      <w:r w:rsidDel="00000000" w:rsidR="00000000" w:rsidRPr="00000000">
        <w:rPr>
          <w:rFonts w:ascii="Arial" w:cs="Arial" w:eastAsia="Arial" w:hAnsi="Arial"/>
          <w:rtl w:val="0"/>
        </w:rPr>
        <w:t xml:space="preserve"> (from the perspective of constant monitoring practice), we would like to mention that, at recruitment, young people are required to certify that they belong to a religion other than the majority one, under the “religion” criterion. In the absence of a “certificate”, they are declared fit for recruitment. There are some denominations that issue such certificates, and, depending on them, in the “eyes” of the members of the Recruitment Commission, young people are accepted or rejected. There are not many such cases, but the problem persists.</w:t>
      </w:r>
    </w:p>
    <w:p w:rsidR="00000000" w:rsidDel="00000000" w:rsidP="00000000" w:rsidRDefault="00000000" w:rsidRPr="00000000" w14:paraId="0000000D">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As regards “conscience”, for example the refusal to hold a weapon, the Commissions do not take this will seriously, including due to the lack of written proof. In addition, national legislation does not provide clear criteria for non-admission to military service of persons who invoke conscientious motives.</w:t>
      </w:r>
    </w:p>
    <w:p w:rsidR="00000000" w:rsidDel="00000000" w:rsidP="00000000" w:rsidRDefault="00000000" w:rsidRPr="00000000" w14:paraId="0000000E">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Another problem is that military legislation does not provide for the “release from military service” of persons who have taken the oath and who later realize that they “do not want to hold a weapon in their hands”, for pacifist, educational, conscientious or religious reasons.</w:t>
      </w:r>
    </w:p>
    <w:p w:rsidR="00000000" w:rsidDel="00000000" w:rsidP="00000000" w:rsidRDefault="00000000" w:rsidRPr="00000000" w14:paraId="0000000F">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In the plans of the Ministry of Defense there are initiatives to amend the legislation regarding military service, defense of the homeland, etc., but we do not know whether the above-mentioned aspects will be addressed. Although the Military Strategy has been approved, these observations are not found in its content, which means that, most probably, they will not be reflected in the legislation on military service either. Perhaps by the begining of 2026 there will be a draft amendment on which we could express our position.</w:t>
      </w:r>
    </w:p>
    <w:p w:rsidR="00000000" w:rsidDel="00000000" w:rsidP="00000000" w:rsidRDefault="00000000" w:rsidRPr="00000000" w14:paraId="00000010">
      <w:pPr>
        <w:spacing w:after="200" w:line="301.09090909090907" w:lineRule="auto"/>
        <w:rPr>
          <w:rFonts w:ascii="Arial" w:cs="Arial" w:eastAsia="Arial" w:hAnsi="Arial"/>
        </w:rPr>
      </w:pPr>
      <w:r w:rsidDel="00000000" w:rsidR="00000000" w:rsidRPr="00000000">
        <w:rPr>
          <w:rFonts w:ascii="Arial" w:cs="Arial" w:eastAsia="Arial" w:hAnsi="Arial"/>
          <w:rtl w:val="0"/>
        </w:rPr>
        <w:t xml:space="preserve">Respectfully,</w:t>
        <w:br w:type="textWrapping"/>
        <w:t xml:space="preserve">The Team of People's Advocate Office of Moldova</w:t>
      </w:r>
    </w:p>
    <w:p w:rsidR="00000000" w:rsidDel="00000000" w:rsidP="00000000" w:rsidRDefault="00000000" w:rsidRPr="00000000" w14:paraId="00000011">
      <w:pPr>
        <w:spacing w:after="200" w:lineRule="auto"/>
        <w:rPr/>
      </w:pPr>
      <w:r w:rsidDel="00000000" w:rsidR="00000000" w:rsidRPr="00000000">
        <w:rPr>
          <w:rtl w:val="0"/>
        </w:rPr>
      </w:r>
    </w:p>
    <w:p w:rsidR="00000000" w:rsidDel="00000000" w:rsidP="00000000" w:rsidRDefault="00000000" w:rsidRPr="00000000" w14:paraId="00000012">
      <w:pPr>
        <w:spacing w:after="200" w:lineRule="auto"/>
        <w:rPr/>
      </w:pPr>
      <w:r w:rsidDel="00000000" w:rsidR="00000000" w:rsidRPr="00000000">
        <w:rPr>
          <w:rtl w:val="0"/>
        </w:rPr>
        <w:t xml:space="preserve">--</w:t>
      </w:r>
    </w:p>
    <w:p w:rsidR="00000000" w:rsidDel="00000000" w:rsidP="00000000" w:rsidRDefault="00000000" w:rsidRPr="00000000" w14:paraId="00000013">
      <w:pPr>
        <w:spacing w:after="200" w:before="240" w:lineRule="auto"/>
        <w:rPr/>
      </w:pPr>
      <w:r w:rsidDel="00000000" w:rsidR="00000000" w:rsidRPr="00000000">
        <w:rPr>
          <w:rtl w:val="0"/>
        </w:rPr>
        <w:t xml:space="preserve">Iuliana Cozma,</w:t>
        <w:br w:type="textWrapping"/>
        <w:t xml:space="preserve"> Șefă adjunctă / Deputy Head</w:t>
        <w:br w:type="textWrapping"/>
        <w:t xml:space="preserve"> Direcția Monitorizare și Raportare / Monitoring and Reporting Department</w:t>
        <w:br w:type="textWrapping"/>
        <w:t xml:space="preserve"> Oficiul Avocatului Poporului / People’s Advocate Office </w:t>
      </w:r>
    </w:p>
    <w:p w:rsidR="00000000" w:rsidDel="00000000" w:rsidP="00000000" w:rsidRDefault="00000000" w:rsidRPr="00000000" w14:paraId="00000014">
      <w:pPr>
        <w:spacing w:after="200" w:lineRule="auto"/>
        <w:rPr/>
      </w:pPr>
      <w:r w:rsidDel="00000000" w:rsidR="00000000" w:rsidRPr="00000000">
        <w:rPr>
          <w:rtl w:val="0"/>
        </w:rPr>
      </w:r>
    </w:p>
    <w:sectPr>
      <w:headerReference r:id="rId8" w:type="default"/>
      <w:pgSz w:h="16838" w:w="11906" w:orient="portrait"/>
      <w:pgMar w:bottom="1440" w:top="1440" w:left="1036.8" w:right="1036.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Didact Gothic">
    <w:embedRegular w:fontKey="{00000000-0000-0000-0000-000000000000}" r:id="rId1" w:subsetted="0"/>
  </w:font>
  <w:font w:name="Droid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spacing w:line="240" w:lineRule="auto"/>
      <w:rPr>
        <w:i w:val="1"/>
        <w:iCs w:val="1"/>
      </w:rPr>
    </w:pPr>
    <w:r w:rsidDel="00000000" w:rsidR="00000000" w:rsidRPr="00000000">
      <w:rPr>
        <w:rFonts w:ascii="Times New Roman" w:cs="Times New Roman" w:eastAsia="Times New Roman" w:hAnsi="Times New Roman"/>
        <w:i w:val="1"/>
        <w:iCs w:val="1"/>
        <w:rtl w:val="0"/>
      </w:rPr>
      <w:t xml:space="preserve">Response by the People's Advocate Office of Moldova, dated 20 January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dact Gothic" w:cs="Didact Gothic" w:eastAsia="Didact Gothic" w:hAnsi="Didact Gothic"/>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Droid Serif" w:cs="Droid Serif" w:eastAsia="Droid Serif" w:hAnsi="Droid Serif"/>
      <w:b w:val="1"/>
      <w:bCs w:val="1"/>
      <w:sz w:val="40"/>
      <w:szCs w:val="40"/>
    </w:rPr>
  </w:style>
  <w:style w:type="paragraph" w:styleId="Heading2">
    <w:name w:val="heading 2"/>
    <w:basedOn w:val="Normal"/>
    <w:next w:val="Normal"/>
    <w:pPr>
      <w:keepNext w:val="1"/>
      <w:keepLines w:val="1"/>
      <w:spacing w:after="120" w:before="360" w:lineRule="auto"/>
    </w:pPr>
    <w:rPr>
      <w:rFonts w:ascii="Droid Serif" w:cs="Droid Serif" w:eastAsia="Droid Serif" w:hAnsi="Droid Serif"/>
      <w:b w:val="1"/>
      <w:bCs w:val="1"/>
      <w:sz w:val="32"/>
      <w:szCs w:val="32"/>
    </w:rPr>
  </w:style>
  <w:style w:type="paragraph" w:styleId="Heading3">
    <w:name w:val="heading 3"/>
    <w:basedOn w:val="Normal"/>
    <w:next w:val="Normal"/>
    <w:pPr>
      <w:keepNext w:val="1"/>
      <w:keepLines w:val="1"/>
      <w:spacing w:after="80" w:before="320" w:lineRule="auto"/>
    </w:pPr>
    <w:rPr>
      <w:rFonts w:ascii="Droid Serif" w:cs="Droid Serif" w:eastAsia="Droid Serif" w:hAnsi="Droid Serif"/>
      <w:b w:val="1"/>
      <w:bCs w:val="1"/>
      <w:color w:val="434343"/>
      <w:sz w:val="28"/>
      <w:szCs w:val="28"/>
    </w:rPr>
  </w:style>
  <w:style w:type="paragraph" w:styleId="Heading4">
    <w:name w:val="heading 4"/>
    <w:basedOn w:val="Normal"/>
    <w:next w:val="Normal"/>
    <w:pPr>
      <w:keepNext w:val="1"/>
      <w:keepLines w:val="1"/>
      <w:spacing w:after="80" w:before="280" w:lineRule="auto"/>
    </w:pPr>
    <w:rPr>
      <w:rFonts w:ascii="Droid Serif" w:cs="Droid Serif" w:eastAsia="Droid Serif" w:hAnsi="Droid Serif"/>
      <w:b w:val="1"/>
      <w:bCs w:val="1"/>
      <w:color w:val="666666"/>
    </w:rPr>
  </w:style>
  <w:style w:type="paragraph" w:styleId="Heading5">
    <w:name w:val="heading 5"/>
    <w:basedOn w:val="Normal"/>
    <w:next w:val="Normal"/>
    <w:pPr>
      <w:keepNext w:val="1"/>
      <w:keepLines w:val="1"/>
      <w:spacing w:after="80" w:before="240" w:lineRule="auto"/>
    </w:pPr>
    <w:rPr>
      <w:rFonts w:ascii="Droid Serif" w:cs="Droid Serif" w:eastAsia="Droid Serif" w:hAnsi="Droid Serif"/>
      <w:b w:val="1"/>
      <w:bCs w:val="1"/>
      <w:color w:val="666666"/>
      <w:sz w:val="22"/>
      <w:szCs w:val="22"/>
    </w:rPr>
  </w:style>
  <w:style w:type="paragraph" w:styleId="Heading6">
    <w:name w:val="heading 6"/>
    <w:basedOn w:val="Normal"/>
    <w:next w:val="Normal"/>
    <w:pPr>
      <w:keepNext w:val="1"/>
      <w:keepLines w:val="1"/>
      <w:spacing w:after="80" w:before="240" w:lineRule="auto"/>
    </w:pPr>
    <w:rPr>
      <w:rFonts w:ascii="Droid Serif" w:cs="Droid Serif" w:eastAsia="Droid Serif" w:hAnsi="Droid Serif"/>
      <w:b w:val="1"/>
      <w:bCs w:val="1"/>
      <w:i w:val="1"/>
      <w:iCs w:val="1"/>
      <w:color w:val="666666"/>
      <w:sz w:val="22"/>
      <w:szCs w:val="22"/>
    </w:rPr>
  </w:style>
  <w:style w:type="paragraph" w:styleId="Title">
    <w:name w:val="Title"/>
    <w:basedOn w:val="Normal"/>
    <w:next w:val="Normal"/>
    <w:pPr>
      <w:keepNext w:val="1"/>
      <w:keepLines w:val="1"/>
      <w:spacing w:after="60" w:lineRule="auto"/>
    </w:pPr>
    <w:rPr>
      <w:rFonts w:ascii="Droid Serif" w:cs="Droid Serif" w:eastAsia="Droid Serif" w:hAnsi="Droid Serif"/>
      <w:b w:val="1"/>
      <w:bCs w:val="1"/>
      <w:sz w:val="52"/>
      <w:szCs w:val="52"/>
    </w:rPr>
  </w:style>
  <w:style w:type="paragraph" w:styleId="Subtitle">
    <w:name w:val="Subtitle"/>
    <w:basedOn w:val="Normal"/>
    <w:next w:val="Normal"/>
    <w:pPr>
      <w:keepNext w:val="1"/>
      <w:keepLines w:val="1"/>
      <w:spacing w:after="320" w:lineRule="auto"/>
    </w:pPr>
    <w:rPr>
      <w:rFonts w:ascii="Droid Serif" w:cs="Droid Serif" w:eastAsia="Droid Serif" w:hAnsi="Droid Serif"/>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mbudsman.md/post-document/raport-in-baza-vizitei-de-follow-up-efectuate-la-brigada-de-infanterie-motorizata-moldova-din-municipiul-balti-la-data-de-20-noiembrie-2023/" TargetMode="External"/><Relationship Id="rId7" Type="http://schemas.openxmlformats.org/officeDocument/2006/relationships/hyperlink" Target="https://ombudsman.md/wp-content/uploads/2022/04/Raport_Special_cazul_pavlescu_FINAL-3.pdf"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DidactGothic-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